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0697067F" w:rsidR="00C606C6" w:rsidRPr="00A75CA8" w:rsidRDefault="00C606C6">
      <w:pPr>
        <w:pStyle w:val="Kopfzeile"/>
        <w:tabs>
          <w:tab w:val="clear" w:pos="4153"/>
          <w:tab w:val="clear" w:pos="8306"/>
        </w:tabs>
        <w:rPr>
          <w:rFonts w:ascii="DIN-Bold" w:hAnsi="DIN-Bold" w:cs="Arial"/>
          <w:sz w:val="20"/>
          <w:lang w:val="de-DE"/>
        </w:rPr>
      </w:pPr>
    </w:p>
    <w:p w14:paraId="05C7CE63" w14:textId="72971D95" w:rsidR="008460A2" w:rsidRPr="000A414E" w:rsidRDefault="00D5779D" w:rsidP="008460A2">
      <w:pPr>
        <w:framePr w:w="7747" w:h="295" w:hSpace="142" w:wrap="around" w:vAnchor="page" w:hAnchor="page" w:x="908" w:y="4991" w:anchorLock="1"/>
        <w:rPr>
          <w:rFonts w:ascii="DIN-Medium" w:hAnsi="DIN-Medium"/>
          <w:sz w:val="31"/>
        </w:rPr>
      </w:pPr>
      <w:r>
        <w:rPr>
          <w:rFonts w:ascii="DIN-Medium" w:hAnsi="DIN-Medium"/>
          <w:sz w:val="31"/>
        </w:rPr>
        <w:t xml:space="preserve">Mises à jour du </w:t>
      </w:r>
      <w:proofErr w:type="spellStart"/>
      <w:r>
        <w:rPr>
          <w:rFonts w:ascii="DIN-Medium" w:hAnsi="DIN-Medium"/>
          <w:sz w:val="31"/>
        </w:rPr>
        <w:t>firmware</w:t>
      </w:r>
      <w:proofErr w:type="spellEnd"/>
      <w:r>
        <w:rPr>
          <w:rFonts w:ascii="DIN-Medium" w:hAnsi="DIN-Medium"/>
          <w:sz w:val="31"/>
        </w:rPr>
        <w:t xml:space="preserve"> pour les LUMIX GH5S, G9 et BGH1</w:t>
      </w:r>
    </w:p>
    <w:p w14:paraId="487F8E54" w14:textId="6EBDAC73" w:rsidR="006A5758" w:rsidRPr="005D652D" w:rsidRDefault="00746852" w:rsidP="00746852">
      <w:pPr>
        <w:framePr w:w="7747" w:h="295" w:hSpace="142" w:wrap="around" w:vAnchor="page" w:hAnchor="page" w:x="908" w:y="4991" w:anchorLock="1"/>
        <w:rPr>
          <w:rFonts w:ascii="DIN-Medium" w:hAnsi="DIN-Medium"/>
          <w:sz w:val="31"/>
        </w:rPr>
      </w:pPr>
      <w:r>
        <w:rPr>
          <w:rFonts w:ascii="DIN-Black" w:hAnsi="DIN-Black"/>
          <w:sz w:val="25"/>
        </w:rPr>
        <w:t xml:space="preserve">Panasonic publie une mise à jour du </w:t>
      </w:r>
      <w:proofErr w:type="spellStart"/>
      <w:r>
        <w:rPr>
          <w:rFonts w:ascii="DIN-Black" w:hAnsi="DIN-Black"/>
          <w:sz w:val="25"/>
        </w:rPr>
        <w:t>firmware</w:t>
      </w:r>
      <w:proofErr w:type="spellEnd"/>
      <w:r>
        <w:rPr>
          <w:rFonts w:ascii="DIN-Black" w:hAnsi="DIN-Black"/>
          <w:sz w:val="25"/>
        </w:rPr>
        <w:t xml:space="preserve"> pour les appareils photo de la série LUMIX G</w:t>
      </w:r>
    </w:p>
    <w:p w14:paraId="6083FE8F" w14:textId="3E407467" w:rsidR="008460A2" w:rsidRDefault="008460A2" w:rsidP="008460A2">
      <w:pPr>
        <w:framePr w:w="7774" w:h="1435" w:hRule="exact" w:hSpace="142" w:wrap="around" w:vAnchor="page" w:hAnchor="page" w:x="914" w:y="3460" w:anchorLock="1"/>
        <w:spacing w:before="120" w:line="220" w:lineRule="exact"/>
        <w:rPr>
          <w:rFonts w:ascii="Arial" w:hAnsi="Arial"/>
          <w:color w:val="808080"/>
          <w:sz w:val="22"/>
        </w:rPr>
      </w:pPr>
      <w:r>
        <w:rPr>
          <w:rFonts w:ascii="DIN-Black" w:hAnsi="DIN-Black"/>
          <w:color w:val="000000"/>
          <w:sz w:val="31"/>
        </w:rPr>
        <w:t>COMMUNIQUÉ DE PRESSE</w:t>
      </w:r>
      <w:r>
        <w:rPr>
          <w:rFonts w:ascii="Arial" w:hAnsi="Arial"/>
          <w:sz w:val="22"/>
        </w:rPr>
        <w:br/>
      </w:r>
      <w:r>
        <w:rPr>
          <w:rFonts w:ascii="DIN-Black" w:hAnsi="DIN-Black"/>
          <w:color w:val="808080"/>
          <w:sz w:val="22"/>
        </w:rPr>
        <w:t>Octobre 2021</w:t>
      </w:r>
    </w:p>
    <w:p w14:paraId="42C9B02E" w14:textId="77777777" w:rsidR="008460A2" w:rsidRPr="001D67C8" w:rsidRDefault="008460A2" w:rsidP="008460A2">
      <w:pPr>
        <w:framePr w:w="7774" w:h="1435" w:hRule="exact" w:hSpace="142" w:wrap="around" w:vAnchor="page" w:hAnchor="page" w:x="914" w:y="3460" w:anchorLock="1"/>
        <w:spacing w:before="120" w:line="360" w:lineRule="auto"/>
        <w:jc w:val="both"/>
        <w:rPr>
          <w:rFonts w:ascii="Helvetica" w:hAnsi="Helvetica"/>
          <w:sz w:val="22"/>
          <w:lang w:val="fr-CH"/>
        </w:rPr>
      </w:pPr>
    </w:p>
    <w:p w14:paraId="2667DBDA" w14:textId="2ADB9F45" w:rsidR="005B63E0" w:rsidRPr="00865467" w:rsidRDefault="00C9322B" w:rsidP="005B63E0">
      <w:pPr>
        <w:rPr>
          <w:rFonts w:ascii="DIN Pro" w:hAnsi="DIN Pro"/>
          <w:b/>
          <w:sz w:val="20"/>
        </w:rPr>
      </w:pPr>
      <w:r>
        <w:rPr>
          <w:rFonts w:ascii="DIN Pro" w:hAnsi="DIN Pro"/>
          <w:b/>
          <w:noProof/>
          <w:sz w:val="20"/>
          <w:lang w:val="de-CH" w:eastAsia="de-CH"/>
        </w:rPr>
        <w:drawing>
          <wp:anchor distT="0" distB="0" distL="114300" distR="114300" simplePos="0" relativeHeight="251658240" behindDoc="0" locked="0" layoutInCell="1" allowOverlap="1" wp14:anchorId="047E2A1E" wp14:editId="3C88EED5">
            <wp:simplePos x="0" y="0"/>
            <wp:positionH relativeFrom="column">
              <wp:posOffset>-15240</wp:posOffset>
            </wp:positionH>
            <wp:positionV relativeFrom="paragraph">
              <wp:posOffset>4445</wp:posOffset>
            </wp:positionV>
            <wp:extent cx="1998345" cy="1330325"/>
            <wp:effectExtent l="0" t="0" r="0"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MIX_Logo_145x88.png"/>
                    <pic:cNvPicPr/>
                  </pic:nvPicPr>
                  <pic:blipFill>
                    <a:blip r:embed="rId11"/>
                    <a:stretch>
                      <a:fillRect/>
                    </a:stretch>
                  </pic:blipFill>
                  <pic:spPr>
                    <a:xfrm>
                      <a:off x="0" y="0"/>
                      <a:ext cx="1998345" cy="133032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DIN Pro" w:hAnsi="DIN Pro"/>
          <w:b/>
          <w:sz w:val="20"/>
        </w:rPr>
        <w:t>Rotkreuz</w:t>
      </w:r>
      <w:proofErr w:type="spellEnd"/>
      <w:r>
        <w:rPr>
          <w:rFonts w:ascii="DIN Pro" w:hAnsi="DIN Pro"/>
          <w:b/>
          <w:sz w:val="20"/>
        </w:rPr>
        <w:t xml:space="preserve">, octobre 2021 - Panasonic annonce un programme de mise à jour du </w:t>
      </w:r>
      <w:proofErr w:type="spellStart"/>
      <w:r>
        <w:rPr>
          <w:rFonts w:ascii="DIN Pro" w:hAnsi="DIN Pro"/>
          <w:b/>
          <w:sz w:val="20"/>
        </w:rPr>
        <w:t>firmware</w:t>
      </w:r>
      <w:proofErr w:type="spellEnd"/>
      <w:r>
        <w:rPr>
          <w:rFonts w:ascii="DIN Pro" w:hAnsi="DIN Pro"/>
          <w:b/>
          <w:sz w:val="20"/>
        </w:rPr>
        <w:t xml:space="preserve"> pour les appareils photo sans miroir de la série LUMIX G-afin d’en améliorer encore les fonctions et la convivialité. La version de mise à jour du </w:t>
      </w:r>
      <w:proofErr w:type="spellStart"/>
      <w:r>
        <w:rPr>
          <w:rFonts w:ascii="DIN Pro" w:hAnsi="DIN Pro"/>
          <w:b/>
          <w:sz w:val="20"/>
        </w:rPr>
        <w:t>firmware</w:t>
      </w:r>
      <w:proofErr w:type="spellEnd"/>
      <w:r>
        <w:rPr>
          <w:rFonts w:ascii="DIN Pro" w:hAnsi="DIN Pro"/>
          <w:b/>
          <w:sz w:val="20"/>
        </w:rPr>
        <w:t xml:space="preserve"> 2.5 pour DC-G9, la version 2.2 pour DC-GH5S et la version 2.3 pour DC-BGH1 seront disponibles à compter du 4 novembre 2021, </w:t>
      </w:r>
      <w:hyperlink r:id="rId12" w:history="1">
        <w:r>
          <w:rPr>
            <w:rFonts w:ascii="DIN Pro" w:hAnsi="DIN Pro"/>
            <w:b/>
            <w:sz w:val="20"/>
          </w:rPr>
          <w:t>https://panasonic.jp/support/global/cs/dsc/</w:t>
        </w:r>
      </w:hyperlink>
      <w:r>
        <w:rPr>
          <w:rFonts w:ascii="DIN Pro" w:hAnsi="DIN Pro"/>
          <w:b/>
          <w:sz w:val="20"/>
        </w:rPr>
        <w:t>à 3 heures, heure allemande, sur le site de support LUMIX Global Customer.</w:t>
      </w:r>
    </w:p>
    <w:p w14:paraId="37496603" w14:textId="77777777" w:rsidR="005B63E0" w:rsidRPr="001D67C8" w:rsidRDefault="005B63E0" w:rsidP="005B63E0">
      <w:pPr>
        <w:rPr>
          <w:rFonts w:ascii="DIN Pro" w:hAnsi="DIN Pro"/>
          <w:b/>
          <w:sz w:val="20"/>
          <w:lang w:val="fr-CH"/>
        </w:rPr>
      </w:pPr>
    </w:p>
    <w:p w14:paraId="245E95D1" w14:textId="5158C539" w:rsidR="00CE4338" w:rsidRPr="00865467" w:rsidRDefault="005B63E0" w:rsidP="005B63E0">
      <w:pPr>
        <w:rPr>
          <w:rFonts w:ascii="DIN Pro" w:hAnsi="DIN Pro"/>
          <w:b/>
          <w:sz w:val="20"/>
        </w:rPr>
      </w:pPr>
      <w:r>
        <w:rPr>
          <w:rFonts w:ascii="DIN Pro" w:hAnsi="DIN Pro"/>
          <w:b/>
          <w:sz w:val="20"/>
        </w:rPr>
        <w:t xml:space="preserve">Avec cette mise à jour, Panasonic optimise davantage la série LUMIX G et la performance de ses appareils photo sans miroir et objectifs </w:t>
      </w:r>
      <w:proofErr w:type="spellStart"/>
      <w:r>
        <w:rPr>
          <w:rFonts w:ascii="DIN Pro" w:hAnsi="DIN Pro"/>
          <w:b/>
          <w:sz w:val="20"/>
        </w:rPr>
        <w:t>MicroFourThirds</w:t>
      </w:r>
      <w:proofErr w:type="spellEnd"/>
      <w:r>
        <w:rPr>
          <w:rFonts w:ascii="DIN Pro" w:hAnsi="DIN Pro"/>
          <w:b/>
          <w:sz w:val="20"/>
        </w:rPr>
        <w:t xml:space="preserve">. Après ces mises à jour, Panasonic proposera en exclusivité six appareils photo (S1H, S1, S5, BS1H, BGH1 et GH5S) qui faciliteront et rendront plus flexible le workflow RAW en prenant en charge la restitution Apple </w:t>
      </w:r>
      <w:proofErr w:type="spellStart"/>
      <w:r>
        <w:rPr>
          <w:rFonts w:ascii="DIN Pro" w:hAnsi="DIN Pro"/>
          <w:b/>
          <w:sz w:val="20"/>
        </w:rPr>
        <w:t>ProRes</w:t>
      </w:r>
      <w:proofErr w:type="spellEnd"/>
      <w:r>
        <w:rPr>
          <w:rFonts w:ascii="DIN Pro" w:hAnsi="DIN Pro"/>
          <w:b/>
          <w:sz w:val="20"/>
        </w:rPr>
        <w:t xml:space="preserve"> RAW et </w:t>
      </w:r>
      <w:proofErr w:type="spellStart"/>
      <w:r>
        <w:rPr>
          <w:rFonts w:ascii="DIN Pro" w:hAnsi="DIN Pro"/>
          <w:b/>
          <w:sz w:val="20"/>
        </w:rPr>
        <w:t>Blackmagic</w:t>
      </w:r>
      <w:proofErr w:type="spellEnd"/>
      <w:r>
        <w:rPr>
          <w:rFonts w:ascii="DIN Pro" w:hAnsi="DIN Pro"/>
          <w:b/>
          <w:sz w:val="20"/>
        </w:rPr>
        <w:t xml:space="preserve"> RAW.</w:t>
      </w:r>
    </w:p>
    <w:p w14:paraId="02F680C4" w14:textId="70092E91" w:rsidR="008460A2" w:rsidRPr="001D67C8" w:rsidRDefault="008460A2" w:rsidP="00E6005F">
      <w:pPr>
        <w:ind w:right="-57"/>
        <w:rPr>
          <w:rFonts w:ascii="DIN Pro" w:hAnsi="DIN Pro"/>
          <w:sz w:val="20"/>
          <w:lang w:val="fr-CH"/>
        </w:rPr>
      </w:pPr>
    </w:p>
    <w:p w14:paraId="5C0EE2AD" w14:textId="77777777" w:rsidR="005B63E0" w:rsidRPr="00865467" w:rsidRDefault="005B63E0" w:rsidP="00A53B3B">
      <w:pPr>
        <w:rPr>
          <w:rFonts w:ascii="DIN Pro" w:hAnsi="DIN Pro"/>
          <w:b/>
          <w:sz w:val="20"/>
        </w:rPr>
      </w:pPr>
      <w:r>
        <w:rPr>
          <w:rFonts w:ascii="DIN Pro" w:hAnsi="DIN Pro"/>
          <w:b/>
          <w:sz w:val="20"/>
        </w:rPr>
        <w:t xml:space="preserve">Version 2.5 du </w:t>
      </w:r>
      <w:proofErr w:type="spellStart"/>
      <w:r>
        <w:rPr>
          <w:rFonts w:ascii="DIN Pro" w:hAnsi="DIN Pro"/>
          <w:b/>
          <w:sz w:val="20"/>
        </w:rPr>
        <w:t>firmware</w:t>
      </w:r>
      <w:proofErr w:type="spellEnd"/>
      <w:r>
        <w:rPr>
          <w:rFonts w:ascii="DIN Pro" w:hAnsi="DIN Pro"/>
          <w:b/>
          <w:sz w:val="20"/>
        </w:rPr>
        <w:t xml:space="preserve"> du G9</w:t>
      </w:r>
    </w:p>
    <w:p w14:paraId="421B00E8" w14:textId="77777777" w:rsidR="005B63E0" w:rsidRPr="001D67C8" w:rsidRDefault="005B63E0" w:rsidP="005B63E0">
      <w:pPr>
        <w:snapToGrid w:val="0"/>
        <w:rPr>
          <w:rFonts w:ascii="DIN Pro" w:hAnsi="DIN Pro"/>
          <w:b/>
          <w:sz w:val="20"/>
          <w:lang w:val="fr-CH"/>
        </w:rPr>
      </w:pPr>
    </w:p>
    <w:p w14:paraId="20FE9A00" w14:textId="4B179B3A" w:rsidR="005B63E0" w:rsidRPr="00865467" w:rsidRDefault="005B63E0" w:rsidP="005B63E0">
      <w:pPr>
        <w:snapToGrid w:val="0"/>
        <w:rPr>
          <w:rFonts w:ascii="DIN Pro" w:hAnsi="DIN Pro"/>
          <w:bCs/>
          <w:sz w:val="20"/>
        </w:rPr>
      </w:pPr>
      <w:r>
        <w:rPr>
          <w:rFonts w:ascii="DIN Pro" w:hAnsi="DIN Pro"/>
          <w:sz w:val="20"/>
        </w:rPr>
        <w:t xml:space="preserve">1. Fonctions </w:t>
      </w:r>
      <w:proofErr w:type="gramStart"/>
      <w:r>
        <w:rPr>
          <w:rFonts w:ascii="DIN Pro" w:hAnsi="DIN Pro"/>
          <w:sz w:val="20"/>
        </w:rPr>
        <w:t>ajoutées:</w:t>
      </w:r>
      <w:proofErr w:type="gramEnd"/>
    </w:p>
    <w:p w14:paraId="5272C072" w14:textId="57FCD6CA" w:rsidR="00B867C3" w:rsidRPr="00865467" w:rsidRDefault="005B63E0" w:rsidP="00B867C3">
      <w:pPr>
        <w:snapToGrid w:val="0"/>
        <w:ind w:left="240"/>
        <w:rPr>
          <w:rFonts w:ascii="DIN Pro" w:hAnsi="DIN Pro"/>
          <w:bCs/>
          <w:sz w:val="20"/>
        </w:rPr>
      </w:pPr>
      <w:r>
        <w:rPr>
          <w:rFonts w:ascii="DIN Pro" w:hAnsi="DIN Pro"/>
          <w:sz w:val="20"/>
        </w:rPr>
        <w:t>- La fonction [Focus Ring Control] a été ajoutée.</w:t>
      </w:r>
    </w:p>
    <w:p w14:paraId="6266C40B" w14:textId="6279068A" w:rsidR="005B63E0" w:rsidRPr="00865467" w:rsidRDefault="00B867C3" w:rsidP="00AF6C7B">
      <w:pPr>
        <w:snapToGrid w:val="0"/>
        <w:ind w:left="240"/>
        <w:rPr>
          <w:rFonts w:ascii="DIN Pro" w:hAnsi="DIN Pro"/>
          <w:bCs/>
          <w:sz w:val="20"/>
        </w:rPr>
      </w:pPr>
      <w:r>
        <w:rPr>
          <w:rFonts w:ascii="DIN Pro" w:hAnsi="DIN Pro"/>
          <w:sz w:val="20"/>
        </w:rPr>
        <w:t>(Elle autorise une commande non linéaire ou linéaire ainsi que le réglage de l’angle de rotation sur l’ensemble de la plage de mise au point (90-360 degrés) en cas d'utilisation pour la mise au point manuelle)</w:t>
      </w:r>
    </w:p>
    <w:p w14:paraId="78D64F0D" w14:textId="07EE5EE7" w:rsidR="005B63E0" w:rsidRPr="00865467" w:rsidRDefault="006F175E" w:rsidP="005B63E0">
      <w:pPr>
        <w:snapToGrid w:val="0"/>
        <w:ind w:leftChars="100" w:left="240"/>
        <w:rPr>
          <w:rFonts w:ascii="DIN Pro" w:hAnsi="DIN Pro"/>
          <w:bCs/>
          <w:sz w:val="20"/>
        </w:rPr>
      </w:pPr>
      <w:r>
        <w:rPr>
          <w:rFonts w:ascii="DIN Pro" w:hAnsi="DIN Pro"/>
          <w:sz w:val="20"/>
        </w:rPr>
        <w:t xml:space="preserve">Objectifs </w:t>
      </w:r>
      <w:proofErr w:type="gramStart"/>
      <w:r>
        <w:rPr>
          <w:rFonts w:ascii="DIN Pro" w:hAnsi="DIN Pro"/>
          <w:sz w:val="20"/>
        </w:rPr>
        <w:t>compatibles:</w:t>
      </w:r>
      <w:proofErr w:type="gramEnd"/>
      <w:r>
        <w:rPr>
          <w:rFonts w:ascii="DIN Pro" w:hAnsi="DIN Pro"/>
          <w:sz w:val="20"/>
        </w:rPr>
        <w:t xml:space="preserve"> H-XA025, H-ES200, H-E08018, H-X1025, H-HSA12035, </w:t>
      </w:r>
      <w:r>
        <w:rPr>
          <w:rFonts w:ascii="DIN Pro" w:hAnsi="DIN Pro"/>
          <w:sz w:val="20"/>
        </w:rPr>
        <w:br/>
        <w:t xml:space="preserve">H-ES12060, H-FS12060, H-X2550, HSA35100, H-FSA45200, H-ES50200, H-FSA100300 </w:t>
      </w:r>
      <w:proofErr w:type="spellStart"/>
      <w:r>
        <w:rPr>
          <w:rFonts w:ascii="DIN Pro" w:hAnsi="DIN Pro"/>
          <w:sz w:val="20"/>
        </w:rPr>
        <w:t>und</w:t>
      </w:r>
      <w:proofErr w:type="spellEnd"/>
      <w:r>
        <w:rPr>
          <w:rFonts w:ascii="DIN Pro" w:hAnsi="DIN Pro"/>
          <w:sz w:val="20"/>
        </w:rPr>
        <w:t xml:space="preserve"> H-RS100400</w:t>
      </w:r>
    </w:p>
    <w:p w14:paraId="50A399B6" w14:textId="19C8EA7D" w:rsidR="00B867C3" w:rsidRPr="00865467" w:rsidRDefault="00B867C3">
      <w:pPr>
        <w:rPr>
          <w:rFonts w:ascii="DIN Pro" w:hAnsi="DIN Pro" w:cs="Arial"/>
        </w:rPr>
      </w:pPr>
      <w:r>
        <w:br w:type="page"/>
      </w:r>
    </w:p>
    <w:p w14:paraId="2F4CBBDA" w14:textId="77777777" w:rsidR="005B63E0" w:rsidRPr="00865467" w:rsidRDefault="005B63E0" w:rsidP="005B63E0">
      <w:pPr>
        <w:snapToGrid w:val="0"/>
        <w:rPr>
          <w:rFonts w:ascii="DIN Pro" w:hAnsi="DIN Pro"/>
          <w:b/>
          <w:sz w:val="20"/>
        </w:rPr>
      </w:pPr>
      <w:r>
        <w:rPr>
          <w:rFonts w:ascii="DIN Pro" w:hAnsi="DIN Pro"/>
          <w:b/>
          <w:sz w:val="20"/>
        </w:rPr>
        <w:lastRenderedPageBreak/>
        <w:t xml:space="preserve">Version 2.2 du </w:t>
      </w:r>
      <w:proofErr w:type="spellStart"/>
      <w:r>
        <w:rPr>
          <w:rFonts w:ascii="DIN Pro" w:hAnsi="DIN Pro"/>
          <w:b/>
          <w:sz w:val="20"/>
        </w:rPr>
        <w:t>firmware</w:t>
      </w:r>
      <w:proofErr w:type="spellEnd"/>
      <w:r>
        <w:rPr>
          <w:rFonts w:ascii="DIN Pro" w:hAnsi="DIN Pro"/>
          <w:b/>
          <w:sz w:val="20"/>
        </w:rPr>
        <w:t xml:space="preserve"> du GH5S</w:t>
      </w:r>
    </w:p>
    <w:p w14:paraId="2DCF60C7" w14:textId="77777777" w:rsidR="005B63E0" w:rsidRPr="001D67C8" w:rsidRDefault="005B63E0" w:rsidP="005B63E0">
      <w:pPr>
        <w:snapToGrid w:val="0"/>
        <w:rPr>
          <w:rFonts w:ascii="DIN Pro" w:hAnsi="DIN Pro"/>
          <w:bCs/>
          <w:sz w:val="20"/>
          <w:lang w:val="fr-CH"/>
        </w:rPr>
      </w:pPr>
    </w:p>
    <w:p w14:paraId="07C0902F" w14:textId="682F1EF2" w:rsidR="005B63E0" w:rsidRPr="00865467" w:rsidRDefault="005B63E0" w:rsidP="005B63E0">
      <w:pPr>
        <w:snapToGrid w:val="0"/>
        <w:rPr>
          <w:rFonts w:ascii="DIN Pro" w:hAnsi="DIN Pro"/>
          <w:bCs/>
          <w:sz w:val="20"/>
        </w:rPr>
      </w:pPr>
      <w:r>
        <w:rPr>
          <w:rFonts w:ascii="DIN Pro" w:hAnsi="DIN Pro"/>
          <w:sz w:val="20"/>
        </w:rPr>
        <w:t xml:space="preserve">1. Les données vidéo RAW peuvent être transmises via HDMI pour enregistrer </w:t>
      </w:r>
      <w:proofErr w:type="spellStart"/>
      <w:r>
        <w:rPr>
          <w:rFonts w:ascii="DIN Pro" w:hAnsi="DIN Pro"/>
          <w:sz w:val="20"/>
        </w:rPr>
        <w:t>Blackmagic</w:t>
      </w:r>
      <w:proofErr w:type="spellEnd"/>
      <w:r>
        <w:rPr>
          <w:rFonts w:ascii="DIN Pro" w:hAnsi="DIN Pro"/>
          <w:sz w:val="20"/>
        </w:rPr>
        <w:t xml:space="preserve"> RAW sur le </w:t>
      </w:r>
      <w:proofErr w:type="spellStart"/>
      <w:r>
        <w:rPr>
          <w:rFonts w:ascii="DIN Pro" w:hAnsi="DIN Pro"/>
          <w:sz w:val="20"/>
        </w:rPr>
        <w:t>Blackmagic</w:t>
      </w:r>
      <w:proofErr w:type="spellEnd"/>
      <w:r>
        <w:rPr>
          <w:rFonts w:ascii="DIN Pro" w:hAnsi="DIN Pro"/>
          <w:sz w:val="20"/>
        </w:rPr>
        <w:t xml:space="preserve"> </w:t>
      </w:r>
      <w:proofErr w:type="spellStart"/>
      <w:r>
        <w:rPr>
          <w:rFonts w:ascii="DIN Pro" w:hAnsi="DIN Pro"/>
          <w:sz w:val="20"/>
        </w:rPr>
        <w:t>Video</w:t>
      </w:r>
      <w:proofErr w:type="spellEnd"/>
      <w:r>
        <w:rPr>
          <w:rFonts w:ascii="DIN Pro" w:hAnsi="DIN Pro"/>
          <w:sz w:val="20"/>
        </w:rPr>
        <w:t xml:space="preserve"> Assist 12G HDR.</w:t>
      </w:r>
    </w:p>
    <w:tbl>
      <w:tblPr>
        <w:tblStyle w:val="Tabellenraster"/>
        <w:tblW w:w="9841" w:type="dxa"/>
        <w:tblInd w:w="-5" w:type="dxa"/>
        <w:tblLook w:val="04A0" w:firstRow="1" w:lastRow="0" w:firstColumn="1" w:lastColumn="0" w:noHBand="0" w:noVBand="1"/>
      </w:tblPr>
      <w:tblGrid>
        <w:gridCol w:w="2329"/>
        <w:gridCol w:w="1934"/>
        <w:gridCol w:w="3219"/>
        <w:gridCol w:w="917"/>
        <w:gridCol w:w="1442"/>
      </w:tblGrid>
      <w:tr w:rsidR="005B63E0" w:rsidRPr="00865467" w14:paraId="5ABF5E1F" w14:textId="77777777" w:rsidTr="005B63E0">
        <w:tc>
          <w:tcPr>
            <w:tcW w:w="2329" w:type="dxa"/>
            <w:shd w:val="clear" w:color="auto" w:fill="D9D9D9" w:themeFill="background1" w:themeFillShade="D9"/>
            <w:vAlign w:val="center"/>
          </w:tcPr>
          <w:p w14:paraId="0167FF0B" w14:textId="77777777" w:rsidR="005B63E0" w:rsidRPr="00865467" w:rsidRDefault="005B63E0" w:rsidP="005660BA">
            <w:pPr>
              <w:snapToGrid w:val="0"/>
              <w:jc w:val="center"/>
              <w:rPr>
                <w:rFonts w:ascii="DIN Pro" w:hAnsi="DIN Pro"/>
                <w:b/>
                <w:sz w:val="20"/>
              </w:rPr>
            </w:pPr>
            <w:r>
              <w:rPr>
                <w:rFonts w:ascii="DIN Pro" w:hAnsi="DIN Pro"/>
                <w:b/>
                <w:sz w:val="20"/>
              </w:rPr>
              <w:t>Surface</w:t>
            </w:r>
          </w:p>
        </w:tc>
        <w:tc>
          <w:tcPr>
            <w:tcW w:w="1934" w:type="dxa"/>
            <w:shd w:val="clear" w:color="auto" w:fill="D9D9D9" w:themeFill="background1" w:themeFillShade="D9"/>
            <w:vAlign w:val="center"/>
          </w:tcPr>
          <w:p w14:paraId="0DB003AB" w14:textId="77777777" w:rsidR="005B63E0" w:rsidRPr="00865467" w:rsidRDefault="005B63E0" w:rsidP="005660BA">
            <w:pPr>
              <w:snapToGrid w:val="0"/>
              <w:jc w:val="center"/>
              <w:rPr>
                <w:rFonts w:ascii="DIN Pro" w:hAnsi="DIN Pro"/>
                <w:b/>
                <w:sz w:val="20"/>
              </w:rPr>
            </w:pPr>
            <w:r>
              <w:rPr>
                <w:rFonts w:ascii="DIN Pro" w:hAnsi="DIN Pro"/>
                <w:b/>
                <w:sz w:val="20"/>
              </w:rPr>
              <w:t>Résolution</w:t>
            </w:r>
          </w:p>
        </w:tc>
        <w:tc>
          <w:tcPr>
            <w:tcW w:w="3219" w:type="dxa"/>
            <w:shd w:val="clear" w:color="auto" w:fill="D9D9D9" w:themeFill="background1" w:themeFillShade="D9"/>
            <w:vAlign w:val="center"/>
          </w:tcPr>
          <w:p w14:paraId="34897337" w14:textId="77777777" w:rsidR="005B63E0" w:rsidRPr="00865467" w:rsidRDefault="005B63E0" w:rsidP="005660BA">
            <w:pPr>
              <w:snapToGrid w:val="0"/>
              <w:jc w:val="center"/>
              <w:rPr>
                <w:rFonts w:ascii="DIN Pro" w:hAnsi="DIN Pro"/>
                <w:b/>
                <w:sz w:val="20"/>
              </w:rPr>
            </w:pPr>
            <w:r>
              <w:rPr>
                <w:rFonts w:ascii="DIN Pro" w:hAnsi="DIN Pro"/>
                <w:b/>
                <w:sz w:val="20"/>
              </w:rPr>
              <w:t>Fréquence</w:t>
            </w:r>
          </w:p>
        </w:tc>
        <w:tc>
          <w:tcPr>
            <w:tcW w:w="917" w:type="dxa"/>
            <w:shd w:val="clear" w:color="auto" w:fill="D9D9D9" w:themeFill="background1" w:themeFillShade="D9"/>
            <w:vAlign w:val="center"/>
          </w:tcPr>
          <w:p w14:paraId="1815DDE3" w14:textId="77777777" w:rsidR="005B63E0" w:rsidRPr="00865467" w:rsidRDefault="005B63E0" w:rsidP="005660BA">
            <w:pPr>
              <w:snapToGrid w:val="0"/>
              <w:jc w:val="center"/>
              <w:rPr>
                <w:rFonts w:ascii="DIN Pro" w:hAnsi="DIN Pro"/>
                <w:b/>
                <w:sz w:val="20"/>
              </w:rPr>
            </w:pPr>
            <w:r>
              <w:rPr>
                <w:rFonts w:ascii="DIN Pro" w:hAnsi="DIN Pro"/>
                <w:b/>
                <w:sz w:val="20"/>
              </w:rPr>
              <w:t>Aspect</w:t>
            </w:r>
          </w:p>
        </w:tc>
        <w:tc>
          <w:tcPr>
            <w:tcW w:w="1442" w:type="dxa"/>
            <w:shd w:val="clear" w:color="auto" w:fill="D9D9D9" w:themeFill="background1" w:themeFillShade="D9"/>
          </w:tcPr>
          <w:p w14:paraId="19EE0195" w14:textId="77777777" w:rsidR="005B63E0" w:rsidRPr="00865467" w:rsidRDefault="005B63E0" w:rsidP="005660BA">
            <w:pPr>
              <w:snapToGrid w:val="0"/>
              <w:jc w:val="center"/>
              <w:rPr>
                <w:rFonts w:ascii="DIN Pro" w:hAnsi="DIN Pro"/>
                <w:b/>
                <w:sz w:val="20"/>
              </w:rPr>
            </w:pPr>
            <w:r>
              <w:rPr>
                <w:rFonts w:ascii="DIN Pro" w:hAnsi="DIN Pro"/>
                <w:b/>
                <w:sz w:val="20"/>
              </w:rPr>
              <w:t>Sortie HDMI</w:t>
            </w:r>
          </w:p>
        </w:tc>
      </w:tr>
      <w:tr w:rsidR="005B63E0" w:rsidRPr="00865467" w14:paraId="3F93D27C" w14:textId="77777777" w:rsidTr="005B63E0">
        <w:tc>
          <w:tcPr>
            <w:tcW w:w="2329" w:type="dxa"/>
          </w:tcPr>
          <w:p w14:paraId="7A8ABB2A" w14:textId="7F08B13F" w:rsidR="005B63E0" w:rsidRPr="00865467" w:rsidRDefault="005B63E0" w:rsidP="005660BA">
            <w:pPr>
              <w:snapToGrid w:val="0"/>
              <w:rPr>
                <w:rFonts w:ascii="DIN Pro" w:hAnsi="DIN Pro"/>
                <w:bCs/>
                <w:sz w:val="20"/>
              </w:rPr>
            </w:pPr>
            <w:r>
              <w:rPr>
                <w:rFonts w:ascii="DIN Pro" w:hAnsi="DIN Pro"/>
                <w:sz w:val="20"/>
              </w:rPr>
              <w:t xml:space="preserve">Micro </w:t>
            </w:r>
            <w:proofErr w:type="spellStart"/>
            <w:r>
              <w:rPr>
                <w:rFonts w:ascii="DIN Pro" w:hAnsi="DIN Pro"/>
                <w:sz w:val="20"/>
              </w:rPr>
              <w:t>FourThirds</w:t>
            </w:r>
            <w:proofErr w:type="spellEnd"/>
          </w:p>
        </w:tc>
        <w:tc>
          <w:tcPr>
            <w:tcW w:w="1934" w:type="dxa"/>
          </w:tcPr>
          <w:p w14:paraId="373B31FE" w14:textId="77777777" w:rsidR="005B63E0" w:rsidRPr="00865467" w:rsidRDefault="005B63E0" w:rsidP="005660BA">
            <w:pPr>
              <w:snapToGrid w:val="0"/>
              <w:rPr>
                <w:rFonts w:ascii="DIN Pro" w:hAnsi="DIN Pro"/>
                <w:bCs/>
                <w:sz w:val="20"/>
              </w:rPr>
            </w:pPr>
            <w:r>
              <w:rPr>
                <w:rFonts w:ascii="DIN Pro" w:hAnsi="DIN Pro"/>
                <w:sz w:val="20"/>
              </w:rPr>
              <w:t>4K (4096 x 2160)</w:t>
            </w:r>
          </w:p>
        </w:tc>
        <w:tc>
          <w:tcPr>
            <w:tcW w:w="3219" w:type="dxa"/>
          </w:tcPr>
          <w:p w14:paraId="74F9C14D" w14:textId="77777777" w:rsidR="005B63E0" w:rsidRPr="00865467" w:rsidRDefault="005B63E0" w:rsidP="005660BA">
            <w:pPr>
              <w:snapToGrid w:val="0"/>
              <w:rPr>
                <w:rFonts w:ascii="DIN Pro" w:hAnsi="DIN Pro"/>
                <w:bCs/>
                <w:sz w:val="20"/>
              </w:rPr>
            </w:pPr>
            <w:r>
              <w:rPr>
                <w:rFonts w:ascii="DIN Pro" w:hAnsi="DIN Pro"/>
                <w:sz w:val="20"/>
              </w:rPr>
              <w:t>23,98p/25,00p/29,97p/50p/59,94p</w:t>
            </w:r>
          </w:p>
        </w:tc>
        <w:tc>
          <w:tcPr>
            <w:tcW w:w="917" w:type="dxa"/>
          </w:tcPr>
          <w:p w14:paraId="2C79939F" w14:textId="77777777" w:rsidR="005B63E0" w:rsidRPr="00865467" w:rsidRDefault="005B63E0" w:rsidP="005660BA">
            <w:pPr>
              <w:snapToGrid w:val="0"/>
              <w:jc w:val="center"/>
              <w:rPr>
                <w:rFonts w:ascii="DIN Pro" w:hAnsi="DIN Pro"/>
                <w:bCs/>
                <w:sz w:val="20"/>
              </w:rPr>
            </w:pPr>
            <w:proofErr w:type="gramStart"/>
            <w:r>
              <w:rPr>
                <w:rFonts w:ascii="DIN Pro" w:hAnsi="DIN Pro"/>
                <w:sz w:val="20"/>
              </w:rPr>
              <w:t>17:</w:t>
            </w:r>
            <w:proofErr w:type="gramEnd"/>
            <w:r>
              <w:rPr>
                <w:rFonts w:ascii="DIN Pro" w:hAnsi="DIN Pro"/>
                <w:sz w:val="20"/>
              </w:rPr>
              <w:t>9</w:t>
            </w:r>
          </w:p>
        </w:tc>
        <w:tc>
          <w:tcPr>
            <w:tcW w:w="1442" w:type="dxa"/>
          </w:tcPr>
          <w:p w14:paraId="4F20FCEC" w14:textId="77777777" w:rsidR="005B63E0" w:rsidRPr="00865467" w:rsidRDefault="005B63E0" w:rsidP="005660BA">
            <w:pPr>
              <w:snapToGrid w:val="0"/>
              <w:jc w:val="center"/>
              <w:rPr>
                <w:rFonts w:ascii="DIN Pro" w:hAnsi="DIN Pro"/>
                <w:bCs/>
                <w:sz w:val="20"/>
              </w:rPr>
            </w:pPr>
            <w:r>
              <w:rPr>
                <w:rFonts w:ascii="DIN Pro" w:hAnsi="DIN Pro"/>
                <w:sz w:val="20"/>
              </w:rPr>
              <w:t>12 bits</w:t>
            </w:r>
          </w:p>
        </w:tc>
      </w:tr>
      <w:tr w:rsidR="005B63E0" w:rsidRPr="00865467" w14:paraId="5CA8F056" w14:textId="77777777" w:rsidTr="005B63E0">
        <w:tc>
          <w:tcPr>
            <w:tcW w:w="2329" w:type="dxa"/>
          </w:tcPr>
          <w:p w14:paraId="24FEB657" w14:textId="0B84C7FC" w:rsidR="005B63E0" w:rsidRPr="00865467" w:rsidRDefault="005B63E0" w:rsidP="005660BA">
            <w:pPr>
              <w:snapToGrid w:val="0"/>
              <w:rPr>
                <w:rFonts w:ascii="DIN Pro" w:hAnsi="DIN Pro"/>
                <w:bCs/>
                <w:sz w:val="20"/>
              </w:rPr>
            </w:pPr>
            <w:r>
              <w:rPr>
                <w:rFonts w:ascii="DIN Pro" w:hAnsi="DIN Pro"/>
                <w:sz w:val="20"/>
              </w:rPr>
              <w:t xml:space="preserve">Micro </w:t>
            </w:r>
            <w:proofErr w:type="spellStart"/>
            <w:r>
              <w:rPr>
                <w:rFonts w:ascii="DIN Pro" w:hAnsi="DIN Pro"/>
                <w:sz w:val="20"/>
              </w:rPr>
              <w:t>FourThirds</w:t>
            </w:r>
            <w:proofErr w:type="spellEnd"/>
            <w:r>
              <w:rPr>
                <w:rFonts w:ascii="DIN Pro" w:hAnsi="DIN Pro"/>
                <w:sz w:val="20"/>
              </w:rPr>
              <w:t xml:space="preserve"> anamorphique</w:t>
            </w:r>
          </w:p>
        </w:tc>
        <w:tc>
          <w:tcPr>
            <w:tcW w:w="1934" w:type="dxa"/>
          </w:tcPr>
          <w:p w14:paraId="5AA5F288" w14:textId="77777777" w:rsidR="005B63E0" w:rsidRPr="00865467" w:rsidRDefault="005B63E0" w:rsidP="005660BA">
            <w:pPr>
              <w:snapToGrid w:val="0"/>
              <w:rPr>
                <w:rFonts w:ascii="DIN Pro" w:hAnsi="DIN Pro"/>
                <w:bCs/>
                <w:sz w:val="20"/>
              </w:rPr>
            </w:pPr>
            <w:r>
              <w:rPr>
                <w:rFonts w:ascii="DIN Pro" w:hAnsi="DIN Pro"/>
                <w:sz w:val="20"/>
              </w:rPr>
              <w:t>3,7k (3680 x 2760)</w:t>
            </w:r>
          </w:p>
        </w:tc>
        <w:tc>
          <w:tcPr>
            <w:tcW w:w="3219" w:type="dxa"/>
          </w:tcPr>
          <w:p w14:paraId="2B563DD3" w14:textId="77777777" w:rsidR="005B63E0" w:rsidRPr="00865467" w:rsidRDefault="005B63E0" w:rsidP="005660BA">
            <w:pPr>
              <w:snapToGrid w:val="0"/>
              <w:rPr>
                <w:rFonts w:ascii="DIN Pro" w:hAnsi="DIN Pro"/>
                <w:bCs/>
                <w:sz w:val="20"/>
              </w:rPr>
            </w:pPr>
            <w:r>
              <w:rPr>
                <w:rFonts w:ascii="DIN Pro" w:hAnsi="DIN Pro"/>
                <w:sz w:val="20"/>
              </w:rPr>
              <w:t>23,98p/25,00p/29,97p/50p/59,94p</w:t>
            </w:r>
          </w:p>
        </w:tc>
        <w:tc>
          <w:tcPr>
            <w:tcW w:w="917" w:type="dxa"/>
          </w:tcPr>
          <w:p w14:paraId="268E8924" w14:textId="77777777" w:rsidR="005B63E0" w:rsidRPr="00865467" w:rsidRDefault="005B63E0" w:rsidP="005660BA">
            <w:pPr>
              <w:snapToGrid w:val="0"/>
              <w:jc w:val="center"/>
              <w:rPr>
                <w:rFonts w:ascii="DIN Pro" w:hAnsi="DIN Pro"/>
                <w:bCs/>
                <w:sz w:val="20"/>
              </w:rPr>
            </w:pPr>
            <w:proofErr w:type="gramStart"/>
            <w:r>
              <w:rPr>
                <w:rFonts w:ascii="DIN Pro" w:hAnsi="DIN Pro"/>
                <w:sz w:val="20"/>
              </w:rPr>
              <w:t>4:</w:t>
            </w:r>
            <w:proofErr w:type="gramEnd"/>
            <w:r>
              <w:rPr>
                <w:rFonts w:ascii="DIN Pro" w:hAnsi="DIN Pro"/>
                <w:sz w:val="20"/>
              </w:rPr>
              <w:t>3</w:t>
            </w:r>
          </w:p>
        </w:tc>
        <w:tc>
          <w:tcPr>
            <w:tcW w:w="1442" w:type="dxa"/>
          </w:tcPr>
          <w:p w14:paraId="452FFA7A" w14:textId="77777777" w:rsidR="005B63E0" w:rsidRPr="00865467" w:rsidRDefault="005B63E0" w:rsidP="005660BA">
            <w:pPr>
              <w:snapToGrid w:val="0"/>
              <w:jc w:val="center"/>
              <w:rPr>
                <w:rFonts w:ascii="DIN Pro" w:hAnsi="DIN Pro"/>
                <w:bCs/>
                <w:sz w:val="20"/>
              </w:rPr>
            </w:pPr>
            <w:r>
              <w:rPr>
                <w:rFonts w:ascii="DIN Pro" w:hAnsi="DIN Pro"/>
                <w:sz w:val="20"/>
              </w:rPr>
              <w:t>12 bits</w:t>
            </w:r>
          </w:p>
        </w:tc>
      </w:tr>
    </w:tbl>
    <w:p w14:paraId="58190129" w14:textId="68B9C56C" w:rsidR="005B63E0" w:rsidRPr="00865467" w:rsidRDefault="005B63E0" w:rsidP="005B63E0">
      <w:pPr>
        <w:snapToGrid w:val="0"/>
        <w:rPr>
          <w:rFonts w:ascii="DIN Pro" w:hAnsi="DIN Pro"/>
          <w:bCs/>
          <w:sz w:val="20"/>
        </w:rPr>
      </w:pPr>
      <w:r>
        <w:rPr>
          <w:rFonts w:ascii="DIN Pro" w:hAnsi="DIN Pro"/>
          <w:sz w:val="20"/>
        </w:rPr>
        <w:t xml:space="preserve">- Possibilité de choisir V-Log L ou Rec.709 sur l’écran d’affichage en direct pendant la restitution du format RAW. </w:t>
      </w:r>
    </w:p>
    <w:p w14:paraId="524E6DA4" w14:textId="7C263153" w:rsidR="005B63E0" w:rsidRPr="00865467" w:rsidRDefault="005B63E0" w:rsidP="005B63E0">
      <w:pPr>
        <w:snapToGrid w:val="0"/>
        <w:rPr>
          <w:rFonts w:ascii="DIN Pro" w:hAnsi="DIN Pro"/>
          <w:bCs/>
          <w:sz w:val="20"/>
        </w:rPr>
      </w:pPr>
      <w:r>
        <w:rPr>
          <w:rFonts w:ascii="DIN Pro" w:hAnsi="DIN Pro"/>
          <w:sz w:val="20"/>
        </w:rPr>
        <w:t xml:space="preserve">- Possibilité d'utiliser des fonctions d’assistance à l’enregistrement comme V-Log L </w:t>
      </w:r>
      <w:proofErr w:type="spellStart"/>
      <w:r>
        <w:rPr>
          <w:rFonts w:ascii="DIN Pro" w:hAnsi="DIN Pro"/>
          <w:sz w:val="20"/>
        </w:rPr>
        <w:t>View</w:t>
      </w:r>
      <w:proofErr w:type="spellEnd"/>
      <w:r>
        <w:rPr>
          <w:rFonts w:ascii="DIN Pro" w:hAnsi="DIN Pro"/>
          <w:sz w:val="20"/>
        </w:rPr>
        <w:t xml:space="preserve"> Assist, WFM (</w:t>
      </w:r>
      <w:proofErr w:type="spellStart"/>
      <w:r>
        <w:rPr>
          <w:rFonts w:ascii="DIN Pro" w:hAnsi="DIN Pro"/>
          <w:sz w:val="20"/>
        </w:rPr>
        <w:t>Wave</w:t>
      </w:r>
      <w:proofErr w:type="spellEnd"/>
      <w:r>
        <w:rPr>
          <w:rFonts w:ascii="DIN Pro" w:hAnsi="DIN Pro"/>
          <w:sz w:val="20"/>
        </w:rPr>
        <w:t xml:space="preserve"> </w:t>
      </w:r>
      <w:proofErr w:type="spellStart"/>
      <w:r>
        <w:rPr>
          <w:rFonts w:ascii="DIN Pro" w:hAnsi="DIN Pro"/>
          <w:sz w:val="20"/>
        </w:rPr>
        <w:t>Form</w:t>
      </w:r>
      <w:proofErr w:type="spellEnd"/>
      <w:r>
        <w:rPr>
          <w:rFonts w:ascii="DIN Pro" w:hAnsi="DIN Pro"/>
          <w:sz w:val="20"/>
        </w:rPr>
        <w:t xml:space="preserve"> Monitor), </w:t>
      </w:r>
      <w:proofErr w:type="spellStart"/>
      <w:r>
        <w:rPr>
          <w:rFonts w:ascii="DIN Pro" w:hAnsi="DIN Pro"/>
          <w:sz w:val="20"/>
        </w:rPr>
        <w:t>Vector</w:t>
      </w:r>
      <w:proofErr w:type="spellEnd"/>
      <w:r>
        <w:rPr>
          <w:rFonts w:ascii="DIN Pro" w:hAnsi="DIN Pro"/>
          <w:sz w:val="20"/>
        </w:rPr>
        <w:t xml:space="preserve"> Scope et Zebra Pattern pendant la restitution du format RAW.</w:t>
      </w:r>
    </w:p>
    <w:p w14:paraId="25D10E10" w14:textId="77777777" w:rsidR="005B63E0" w:rsidRPr="001D67C8" w:rsidRDefault="005B63E0" w:rsidP="005B63E0">
      <w:pPr>
        <w:snapToGrid w:val="0"/>
        <w:contextualSpacing/>
        <w:rPr>
          <w:rFonts w:ascii="DIN Pro" w:hAnsi="DIN Pro" w:cs="Arial"/>
          <w:sz w:val="16"/>
          <w:szCs w:val="16"/>
          <w:shd w:val="clear" w:color="auto" w:fill="FFFFFF"/>
          <w:lang w:val="fr-CH"/>
        </w:rPr>
      </w:pPr>
    </w:p>
    <w:p w14:paraId="60153B5A" w14:textId="77777777" w:rsidR="005B63E0" w:rsidRPr="00865467" w:rsidRDefault="005B63E0" w:rsidP="005B63E0">
      <w:pPr>
        <w:snapToGrid w:val="0"/>
        <w:contextualSpacing/>
        <w:rPr>
          <w:rFonts w:ascii="DIN Pro" w:hAnsi="DIN Pro"/>
          <w:bCs/>
          <w:sz w:val="15"/>
          <w:szCs w:val="15"/>
        </w:rPr>
      </w:pPr>
      <w:r>
        <w:rPr>
          <w:rFonts w:ascii="DIN Pro" w:hAnsi="DIN Pro"/>
          <w:sz w:val="15"/>
        </w:rPr>
        <w:t xml:space="preserve">*Le mode d’enregistrement disponible dépend de la version du </w:t>
      </w:r>
      <w:proofErr w:type="spellStart"/>
      <w:r>
        <w:rPr>
          <w:rFonts w:ascii="DIN Pro" w:hAnsi="DIN Pro"/>
          <w:sz w:val="15"/>
        </w:rPr>
        <w:t>firmare</w:t>
      </w:r>
      <w:proofErr w:type="spellEnd"/>
      <w:r>
        <w:rPr>
          <w:rFonts w:ascii="DIN Pro" w:hAnsi="DIN Pro"/>
          <w:sz w:val="15"/>
        </w:rPr>
        <w:t xml:space="preserve"> du </w:t>
      </w:r>
      <w:proofErr w:type="spellStart"/>
      <w:r>
        <w:rPr>
          <w:rFonts w:ascii="DIN Pro" w:hAnsi="DIN Pro"/>
          <w:sz w:val="15"/>
        </w:rPr>
        <w:t>Blackmagic</w:t>
      </w:r>
      <w:proofErr w:type="spellEnd"/>
      <w:r>
        <w:rPr>
          <w:rFonts w:ascii="DIN Pro" w:hAnsi="DIN Pro"/>
          <w:sz w:val="15"/>
        </w:rPr>
        <w:t xml:space="preserve"> </w:t>
      </w:r>
      <w:proofErr w:type="spellStart"/>
      <w:r>
        <w:rPr>
          <w:rFonts w:ascii="DIN Pro" w:hAnsi="DIN Pro"/>
          <w:sz w:val="15"/>
        </w:rPr>
        <w:t>Video</w:t>
      </w:r>
      <w:proofErr w:type="spellEnd"/>
      <w:r>
        <w:rPr>
          <w:rFonts w:ascii="DIN Pro" w:hAnsi="DIN Pro"/>
          <w:sz w:val="15"/>
        </w:rPr>
        <w:t xml:space="preserve"> Assist 12G HDR.</w:t>
      </w:r>
    </w:p>
    <w:p w14:paraId="2992C6BC" w14:textId="77777777" w:rsidR="005B63E0" w:rsidRPr="00865467" w:rsidRDefault="005B63E0" w:rsidP="005B63E0">
      <w:pPr>
        <w:snapToGrid w:val="0"/>
        <w:contextualSpacing/>
        <w:rPr>
          <w:rFonts w:ascii="DIN Pro" w:hAnsi="DIN Pro"/>
          <w:bCs/>
          <w:sz w:val="15"/>
          <w:szCs w:val="15"/>
        </w:rPr>
      </w:pPr>
      <w:r>
        <w:rPr>
          <w:rFonts w:ascii="DIN Pro" w:hAnsi="DIN Pro"/>
          <w:sz w:val="15"/>
        </w:rPr>
        <w:t xml:space="preserve">*Des informations sur la version correspondante du </w:t>
      </w:r>
      <w:proofErr w:type="spellStart"/>
      <w:r>
        <w:rPr>
          <w:rFonts w:ascii="DIN Pro" w:hAnsi="DIN Pro"/>
          <w:sz w:val="15"/>
        </w:rPr>
        <w:t>firmware</w:t>
      </w:r>
      <w:proofErr w:type="spellEnd"/>
      <w:r>
        <w:rPr>
          <w:rFonts w:ascii="DIN Pro" w:hAnsi="DIN Pro"/>
          <w:sz w:val="15"/>
        </w:rPr>
        <w:t xml:space="preserve"> du </w:t>
      </w:r>
      <w:proofErr w:type="spellStart"/>
      <w:r>
        <w:rPr>
          <w:rFonts w:ascii="DIN Pro" w:hAnsi="DIN Pro"/>
          <w:sz w:val="15"/>
        </w:rPr>
        <w:t>Blackmagic</w:t>
      </w:r>
      <w:proofErr w:type="spellEnd"/>
      <w:r>
        <w:rPr>
          <w:rFonts w:ascii="DIN Pro" w:hAnsi="DIN Pro"/>
          <w:sz w:val="15"/>
        </w:rPr>
        <w:t xml:space="preserve"> </w:t>
      </w:r>
      <w:proofErr w:type="spellStart"/>
      <w:r>
        <w:rPr>
          <w:rFonts w:ascii="DIN Pro" w:hAnsi="DIN Pro"/>
          <w:sz w:val="15"/>
        </w:rPr>
        <w:t>Video</w:t>
      </w:r>
      <w:proofErr w:type="spellEnd"/>
      <w:r>
        <w:rPr>
          <w:rFonts w:ascii="DIN Pro" w:hAnsi="DIN Pro"/>
          <w:sz w:val="15"/>
        </w:rPr>
        <w:t xml:space="preserve"> Assist 12G HDR sont disponibles sur le site web de </w:t>
      </w:r>
      <w:proofErr w:type="spellStart"/>
      <w:r>
        <w:rPr>
          <w:rFonts w:ascii="DIN Pro" w:hAnsi="DIN Pro"/>
          <w:sz w:val="15"/>
        </w:rPr>
        <w:t>Blackmagic</w:t>
      </w:r>
      <w:proofErr w:type="spellEnd"/>
      <w:r>
        <w:rPr>
          <w:rFonts w:ascii="DIN Pro" w:hAnsi="DIN Pro"/>
          <w:sz w:val="15"/>
        </w:rPr>
        <w:t xml:space="preserve"> Design.</w:t>
      </w:r>
    </w:p>
    <w:p w14:paraId="7EDEE85E" w14:textId="77777777" w:rsidR="005B63E0" w:rsidRPr="00865467" w:rsidRDefault="005B63E0" w:rsidP="005B63E0">
      <w:pPr>
        <w:snapToGrid w:val="0"/>
        <w:contextualSpacing/>
        <w:rPr>
          <w:rFonts w:ascii="DIN Pro" w:hAnsi="DIN Pro"/>
          <w:bCs/>
          <w:sz w:val="15"/>
          <w:szCs w:val="15"/>
        </w:rPr>
      </w:pPr>
      <w:r>
        <w:rPr>
          <w:rFonts w:ascii="DIN Pro" w:hAnsi="DIN Pro"/>
          <w:sz w:val="15"/>
        </w:rPr>
        <w:t xml:space="preserve">* La restitution et le traitement des données RAW </w:t>
      </w:r>
      <w:proofErr w:type="gramStart"/>
      <w:r>
        <w:rPr>
          <w:rFonts w:ascii="DIN Pro" w:hAnsi="DIN Pro"/>
          <w:sz w:val="15"/>
        </w:rPr>
        <w:t>nécessitent</w:t>
      </w:r>
      <w:proofErr w:type="gramEnd"/>
      <w:r>
        <w:rPr>
          <w:rFonts w:ascii="DIN Pro" w:hAnsi="DIN Pro"/>
          <w:sz w:val="15"/>
        </w:rPr>
        <w:t xml:space="preserve"> </w:t>
      </w:r>
      <w:proofErr w:type="spellStart"/>
      <w:r>
        <w:rPr>
          <w:rFonts w:ascii="DIN Pro" w:hAnsi="DIN Pro"/>
          <w:sz w:val="15"/>
        </w:rPr>
        <w:t>DaVinci</w:t>
      </w:r>
      <w:proofErr w:type="spellEnd"/>
      <w:r>
        <w:rPr>
          <w:rFonts w:ascii="DIN Pro" w:hAnsi="DIN Pro"/>
          <w:sz w:val="15"/>
        </w:rPr>
        <w:t xml:space="preserve"> </w:t>
      </w:r>
      <w:proofErr w:type="spellStart"/>
      <w:r>
        <w:rPr>
          <w:rFonts w:ascii="DIN Pro" w:hAnsi="DIN Pro"/>
          <w:sz w:val="15"/>
        </w:rPr>
        <w:t>Resolve</w:t>
      </w:r>
      <w:proofErr w:type="spellEnd"/>
      <w:r>
        <w:rPr>
          <w:rFonts w:ascii="DIN Pro" w:hAnsi="DIN Pro"/>
          <w:sz w:val="15"/>
        </w:rPr>
        <w:t xml:space="preserve"> ou </w:t>
      </w:r>
      <w:proofErr w:type="spellStart"/>
      <w:r>
        <w:rPr>
          <w:rFonts w:ascii="DIN Pro" w:hAnsi="DIN Pro"/>
          <w:sz w:val="15"/>
        </w:rPr>
        <w:t>DaVinci</w:t>
      </w:r>
      <w:proofErr w:type="spellEnd"/>
      <w:r>
        <w:rPr>
          <w:rFonts w:ascii="DIN Pro" w:hAnsi="DIN Pro"/>
          <w:sz w:val="15"/>
        </w:rPr>
        <w:t xml:space="preserve"> </w:t>
      </w:r>
      <w:proofErr w:type="spellStart"/>
      <w:r>
        <w:rPr>
          <w:rFonts w:ascii="DIN Pro" w:hAnsi="DIN Pro"/>
          <w:sz w:val="15"/>
        </w:rPr>
        <w:t>Resolve</w:t>
      </w:r>
      <w:proofErr w:type="spellEnd"/>
      <w:r>
        <w:rPr>
          <w:rFonts w:ascii="DIN Pro" w:hAnsi="DIN Pro"/>
          <w:sz w:val="15"/>
        </w:rPr>
        <w:t xml:space="preserve"> Studio. </w:t>
      </w:r>
      <w:proofErr w:type="spellStart"/>
      <w:r>
        <w:rPr>
          <w:rFonts w:ascii="DIN Pro" w:hAnsi="DIN Pro"/>
          <w:sz w:val="15"/>
        </w:rPr>
        <w:t>DaVinci</w:t>
      </w:r>
      <w:proofErr w:type="spellEnd"/>
      <w:r>
        <w:rPr>
          <w:rFonts w:ascii="DIN Pro" w:hAnsi="DIN Pro"/>
          <w:sz w:val="15"/>
        </w:rPr>
        <w:t xml:space="preserve"> </w:t>
      </w:r>
      <w:proofErr w:type="spellStart"/>
      <w:r>
        <w:rPr>
          <w:rFonts w:ascii="DIN Pro" w:hAnsi="DIN Pro"/>
          <w:sz w:val="15"/>
        </w:rPr>
        <w:t>Resolve</w:t>
      </w:r>
      <w:proofErr w:type="spellEnd"/>
      <w:r>
        <w:rPr>
          <w:rFonts w:ascii="DIN Pro" w:hAnsi="DIN Pro"/>
          <w:sz w:val="15"/>
        </w:rPr>
        <w:t xml:space="preserve"> Studio est requis pour livrer des projets avec des données </w:t>
      </w:r>
      <w:proofErr w:type="spellStart"/>
      <w:r>
        <w:rPr>
          <w:rFonts w:ascii="DIN Pro" w:hAnsi="DIN Pro"/>
          <w:sz w:val="15"/>
        </w:rPr>
        <w:t>Blackmagic</w:t>
      </w:r>
      <w:proofErr w:type="spellEnd"/>
      <w:r>
        <w:rPr>
          <w:rFonts w:ascii="DIN Pro" w:hAnsi="DIN Pro"/>
          <w:sz w:val="15"/>
        </w:rPr>
        <w:t xml:space="preserve"> RAW dans des résolutions supérieures à 3840x2160.</w:t>
      </w:r>
    </w:p>
    <w:p w14:paraId="488568B1" w14:textId="77777777" w:rsidR="005B63E0" w:rsidRPr="00865467" w:rsidRDefault="005B63E0" w:rsidP="005B63E0">
      <w:pPr>
        <w:snapToGrid w:val="0"/>
        <w:contextualSpacing/>
        <w:rPr>
          <w:rFonts w:ascii="DIN Pro" w:hAnsi="DIN Pro"/>
          <w:bCs/>
          <w:sz w:val="15"/>
          <w:szCs w:val="15"/>
        </w:rPr>
      </w:pPr>
      <w:r>
        <w:rPr>
          <w:rFonts w:ascii="DIN Pro" w:hAnsi="DIN Pro"/>
          <w:sz w:val="15"/>
        </w:rPr>
        <w:t>*Selon la situation, toutes les fonctions peuvent ne pas être disponibles.</w:t>
      </w:r>
    </w:p>
    <w:p w14:paraId="410E2298" w14:textId="77777777" w:rsidR="005B63E0" w:rsidRPr="001D67C8" w:rsidRDefault="005B63E0" w:rsidP="005B63E0">
      <w:pPr>
        <w:snapToGrid w:val="0"/>
        <w:rPr>
          <w:rFonts w:ascii="DIN Pro" w:hAnsi="DIN Pro" w:cs="Arial"/>
          <w:lang w:val="fr-CH"/>
        </w:rPr>
      </w:pPr>
    </w:p>
    <w:p w14:paraId="56520852" w14:textId="77777777" w:rsidR="005B63E0" w:rsidRPr="00865467" w:rsidRDefault="005B63E0" w:rsidP="005B63E0">
      <w:pPr>
        <w:snapToGrid w:val="0"/>
        <w:rPr>
          <w:rFonts w:ascii="DIN Pro" w:hAnsi="DIN Pro"/>
          <w:bCs/>
          <w:sz w:val="20"/>
        </w:rPr>
      </w:pPr>
      <w:r>
        <w:rPr>
          <w:rFonts w:ascii="DIN Pro" w:hAnsi="DIN Pro"/>
          <w:sz w:val="20"/>
        </w:rPr>
        <w:t>2. Fonctions ajoutées</w:t>
      </w:r>
    </w:p>
    <w:p w14:paraId="2416093B" w14:textId="4552072E" w:rsidR="005B63E0" w:rsidRPr="00865467" w:rsidRDefault="005B63E0" w:rsidP="005B63E0">
      <w:pPr>
        <w:snapToGrid w:val="0"/>
        <w:rPr>
          <w:rFonts w:ascii="DIN Pro" w:hAnsi="DIN Pro"/>
          <w:bCs/>
          <w:sz w:val="20"/>
        </w:rPr>
      </w:pPr>
      <w:r>
        <w:rPr>
          <w:rFonts w:ascii="DIN Pro" w:hAnsi="DIN Pro"/>
          <w:sz w:val="20"/>
        </w:rPr>
        <w:t>- La fonction [Focus Ring Control] a été ajoutée.</w:t>
      </w:r>
    </w:p>
    <w:p w14:paraId="7EB0E8A3" w14:textId="77777777" w:rsidR="00CE4338" w:rsidRPr="00865467" w:rsidRDefault="00CE4338" w:rsidP="00CE4338">
      <w:pPr>
        <w:snapToGrid w:val="0"/>
        <w:ind w:leftChars="100" w:left="240"/>
        <w:rPr>
          <w:rFonts w:ascii="DIN Pro" w:hAnsi="DIN Pro"/>
          <w:bCs/>
          <w:sz w:val="20"/>
        </w:rPr>
      </w:pPr>
      <w:r>
        <w:rPr>
          <w:rFonts w:ascii="DIN Pro" w:hAnsi="DIN Pro"/>
          <w:sz w:val="20"/>
        </w:rPr>
        <w:t xml:space="preserve">Objectifs </w:t>
      </w:r>
      <w:proofErr w:type="gramStart"/>
      <w:r>
        <w:rPr>
          <w:rFonts w:ascii="DIN Pro" w:hAnsi="DIN Pro"/>
          <w:sz w:val="20"/>
        </w:rPr>
        <w:t>compatibles:</w:t>
      </w:r>
      <w:proofErr w:type="gramEnd"/>
      <w:r>
        <w:rPr>
          <w:rFonts w:ascii="DIN Pro" w:hAnsi="DIN Pro"/>
          <w:sz w:val="20"/>
        </w:rPr>
        <w:t xml:space="preserve"> H-XA025, H-ES200, H-E08018, H-X1025, H-HSA12035, H-ES12060, H-FS12060, H-X2550, HSA35100, H-FSA45200, H-ES50200, H-FSA100300 </w:t>
      </w:r>
      <w:proofErr w:type="spellStart"/>
      <w:r>
        <w:rPr>
          <w:rFonts w:ascii="DIN Pro" w:hAnsi="DIN Pro"/>
          <w:sz w:val="20"/>
        </w:rPr>
        <w:t>und</w:t>
      </w:r>
      <w:proofErr w:type="spellEnd"/>
      <w:r>
        <w:rPr>
          <w:rFonts w:ascii="DIN Pro" w:hAnsi="DIN Pro"/>
          <w:sz w:val="20"/>
        </w:rPr>
        <w:t xml:space="preserve"> H-RS100400</w:t>
      </w:r>
    </w:p>
    <w:p w14:paraId="7BDA3754" w14:textId="77777777" w:rsidR="005B63E0" w:rsidRPr="001D67C8" w:rsidRDefault="005B63E0" w:rsidP="005B63E0">
      <w:pPr>
        <w:snapToGrid w:val="0"/>
        <w:rPr>
          <w:rFonts w:ascii="DIN Pro" w:hAnsi="DIN Pro" w:cs="Arial"/>
        </w:rPr>
      </w:pPr>
    </w:p>
    <w:p w14:paraId="7D898846" w14:textId="77777777" w:rsidR="005B63E0" w:rsidRPr="00865467" w:rsidRDefault="005B63E0" w:rsidP="005B63E0">
      <w:pPr>
        <w:snapToGrid w:val="0"/>
        <w:rPr>
          <w:rFonts w:ascii="DIN Pro" w:hAnsi="DIN Pro"/>
          <w:b/>
          <w:sz w:val="20"/>
        </w:rPr>
      </w:pPr>
      <w:r>
        <w:rPr>
          <w:rFonts w:ascii="DIN Pro" w:hAnsi="DIN Pro"/>
          <w:b/>
          <w:sz w:val="20"/>
        </w:rPr>
        <w:t xml:space="preserve">Version 2.3 du </w:t>
      </w:r>
      <w:proofErr w:type="spellStart"/>
      <w:r>
        <w:rPr>
          <w:rFonts w:ascii="DIN Pro" w:hAnsi="DIN Pro"/>
          <w:b/>
          <w:sz w:val="20"/>
        </w:rPr>
        <w:t>firmware</w:t>
      </w:r>
      <w:proofErr w:type="spellEnd"/>
      <w:r>
        <w:rPr>
          <w:rFonts w:ascii="DIN Pro" w:hAnsi="DIN Pro"/>
          <w:b/>
          <w:sz w:val="20"/>
        </w:rPr>
        <w:t xml:space="preserve"> du BGH1</w:t>
      </w:r>
    </w:p>
    <w:p w14:paraId="203DE1E3" w14:textId="77777777" w:rsidR="005B63E0" w:rsidRPr="001D67C8" w:rsidRDefault="005B63E0" w:rsidP="005B63E0">
      <w:pPr>
        <w:snapToGrid w:val="0"/>
        <w:rPr>
          <w:rFonts w:ascii="DIN Pro" w:hAnsi="DIN Pro"/>
          <w:b/>
          <w:sz w:val="20"/>
          <w:lang w:val="fr-CH"/>
        </w:rPr>
      </w:pPr>
    </w:p>
    <w:p w14:paraId="010F9012" w14:textId="77777777" w:rsidR="005B63E0" w:rsidRPr="00865467" w:rsidRDefault="005B63E0" w:rsidP="005B63E0">
      <w:pPr>
        <w:snapToGrid w:val="0"/>
        <w:rPr>
          <w:rFonts w:ascii="DIN Pro" w:hAnsi="DIN Pro"/>
          <w:bCs/>
          <w:sz w:val="20"/>
        </w:rPr>
      </w:pPr>
      <w:r>
        <w:rPr>
          <w:rFonts w:ascii="DIN Pro" w:hAnsi="DIN Pro"/>
          <w:sz w:val="20"/>
        </w:rPr>
        <w:t xml:space="preserve">1. Les données vidéo RAW peuvent être transmises via HDMI pour enregistrer </w:t>
      </w:r>
      <w:proofErr w:type="spellStart"/>
      <w:r>
        <w:rPr>
          <w:rFonts w:ascii="DIN Pro" w:hAnsi="DIN Pro"/>
          <w:sz w:val="20"/>
        </w:rPr>
        <w:t>Blackmagic</w:t>
      </w:r>
      <w:proofErr w:type="spellEnd"/>
      <w:r>
        <w:rPr>
          <w:rFonts w:ascii="DIN Pro" w:hAnsi="DIN Pro"/>
          <w:sz w:val="20"/>
        </w:rPr>
        <w:t xml:space="preserve"> RAW sur le </w:t>
      </w:r>
      <w:proofErr w:type="spellStart"/>
      <w:r>
        <w:rPr>
          <w:rFonts w:ascii="DIN Pro" w:hAnsi="DIN Pro"/>
          <w:sz w:val="20"/>
        </w:rPr>
        <w:t>Blackmagic</w:t>
      </w:r>
      <w:proofErr w:type="spellEnd"/>
      <w:r>
        <w:rPr>
          <w:rFonts w:ascii="DIN Pro" w:hAnsi="DIN Pro"/>
          <w:sz w:val="20"/>
        </w:rPr>
        <w:t xml:space="preserve"> </w:t>
      </w:r>
      <w:proofErr w:type="spellStart"/>
      <w:r>
        <w:rPr>
          <w:rFonts w:ascii="DIN Pro" w:hAnsi="DIN Pro"/>
          <w:sz w:val="20"/>
        </w:rPr>
        <w:t>Video</w:t>
      </w:r>
      <w:proofErr w:type="spellEnd"/>
      <w:r>
        <w:rPr>
          <w:rFonts w:ascii="DIN Pro" w:hAnsi="DIN Pro"/>
          <w:sz w:val="20"/>
        </w:rPr>
        <w:t xml:space="preserve"> Assist 12G HDR.</w:t>
      </w:r>
    </w:p>
    <w:tbl>
      <w:tblPr>
        <w:tblStyle w:val="Tabellenraster"/>
        <w:tblW w:w="9841" w:type="dxa"/>
        <w:tblInd w:w="-5" w:type="dxa"/>
        <w:tblLook w:val="04A0" w:firstRow="1" w:lastRow="0" w:firstColumn="1" w:lastColumn="0" w:noHBand="0" w:noVBand="1"/>
      </w:tblPr>
      <w:tblGrid>
        <w:gridCol w:w="2329"/>
        <w:gridCol w:w="1934"/>
        <w:gridCol w:w="3219"/>
        <w:gridCol w:w="917"/>
        <w:gridCol w:w="1442"/>
      </w:tblGrid>
      <w:tr w:rsidR="005B63E0" w:rsidRPr="00865467" w14:paraId="14C8549C" w14:textId="77777777" w:rsidTr="005B63E0">
        <w:tc>
          <w:tcPr>
            <w:tcW w:w="2329" w:type="dxa"/>
            <w:shd w:val="clear" w:color="auto" w:fill="D9D9D9" w:themeFill="background1" w:themeFillShade="D9"/>
            <w:vAlign w:val="center"/>
          </w:tcPr>
          <w:p w14:paraId="4D16A468" w14:textId="77777777" w:rsidR="005B63E0" w:rsidRPr="00865467" w:rsidRDefault="005B63E0" w:rsidP="005660BA">
            <w:pPr>
              <w:snapToGrid w:val="0"/>
              <w:jc w:val="center"/>
              <w:rPr>
                <w:rFonts w:ascii="DIN Pro" w:hAnsi="DIN Pro"/>
                <w:b/>
                <w:sz w:val="20"/>
              </w:rPr>
            </w:pPr>
            <w:r>
              <w:rPr>
                <w:rFonts w:ascii="DIN Pro" w:hAnsi="DIN Pro"/>
                <w:b/>
                <w:sz w:val="20"/>
              </w:rPr>
              <w:t>Surface</w:t>
            </w:r>
          </w:p>
        </w:tc>
        <w:tc>
          <w:tcPr>
            <w:tcW w:w="1934" w:type="dxa"/>
            <w:shd w:val="clear" w:color="auto" w:fill="D9D9D9" w:themeFill="background1" w:themeFillShade="D9"/>
            <w:vAlign w:val="center"/>
          </w:tcPr>
          <w:p w14:paraId="78AE0784" w14:textId="77777777" w:rsidR="005B63E0" w:rsidRPr="00865467" w:rsidRDefault="005B63E0" w:rsidP="005660BA">
            <w:pPr>
              <w:snapToGrid w:val="0"/>
              <w:jc w:val="center"/>
              <w:rPr>
                <w:rFonts w:ascii="DIN Pro" w:hAnsi="DIN Pro"/>
                <w:b/>
                <w:sz w:val="20"/>
              </w:rPr>
            </w:pPr>
            <w:r>
              <w:rPr>
                <w:rFonts w:ascii="DIN Pro" w:hAnsi="DIN Pro"/>
                <w:b/>
                <w:sz w:val="20"/>
              </w:rPr>
              <w:t>Résolution</w:t>
            </w:r>
          </w:p>
        </w:tc>
        <w:tc>
          <w:tcPr>
            <w:tcW w:w="3219" w:type="dxa"/>
            <w:shd w:val="clear" w:color="auto" w:fill="D9D9D9" w:themeFill="background1" w:themeFillShade="D9"/>
            <w:vAlign w:val="center"/>
          </w:tcPr>
          <w:p w14:paraId="4763412C" w14:textId="77777777" w:rsidR="005B63E0" w:rsidRPr="00865467" w:rsidRDefault="005B63E0" w:rsidP="005660BA">
            <w:pPr>
              <w:snapToGrid w:val="0"/>
              <w:jc w:val="center"/>
              <w:rPr>
                <w:rFonts w:ascii="DIN Pro" w:hAnsi="DIN Pro"/>
                <w:b/>
                <w:sz w:val="20"/>
              </w:rPr>
            </w:pPr>
            <w:r>
              <w:rPr>
                <w:rFonts w:ascii="DIN Pro" w:hAnsi="DIN Pro"/>
                <w:b/>
                <w:sz w:val="20"/>
              </w:rPr>
              <w:t>Fréquence</w:t>
            </w:r>
          </w:p>
        </w:tc>
        <w:tc>
          <w:tcPr>
            <w:tcW w:w="917" w:type="dxa"/>
            <w:shd w:val="clear" w:color="auto" w:fill="D9D9D9" w:themeFill="background1" w:themeFillShade="D9"/>
            <w:vAlign w:val="center"/>
          </w:tcPr>
          <w:p w14:paraId="45C81651" w14:textId="77777777" w:rsidR="005B63E0" w:rsidRPr="00865467" w:rsidRDefault="005B63E0" w:rsidP="005660BA">
            <w:pPr>
              <w:snapToGrid w:val="0"/>
              <w:jc w:val="center"/>
              <w:rPr>
                <w:rFonts w:ascii="DIN Pro" w:hAnsi="DIN Pro"/>
                <w:b/>
                <w:sz w:val="20"/>
              </w:rPr>
            </w:pPr>
            <w:r>
              <w:rPr>
                <w:rFonts w:ascii="DIN Pro" w:hAnsi="DIN Pro"/>
                <w:b/>
                <w:sz w:val="20"/>
              </w:rPr>
              <w:t>Aspect</w:t>
            </w:r>
          </w:p>
        </w:tc>
        <w:tc>
          <w:tcPr>
            <w:tcW w:w="1442" w:type="dxa"/>
            <w:shd w:val="clear" w:color="auto" w:fill="D9D9D9" w:themeFill="background1" w:themeFillShade="D9"/>
          </w:tcPr>
          <w:p w14:paraId="280CF965" w14:textId="77777777" w:rsidR="005B63E0" w:rsidRPr="00865467" w:rsidRDefault="005B63E0" w:rsidP="005660BA">
            <w:pPr>
              <w:snapToGrid w:val="0"/>
              <w:jc w:val="center"/>
              <w:rPr>
                <w:rFonts w:ascii="DIN Pro" w:hAnsi="DIN Pro"/>
                <w:b/>
                <w:sz w:val="20"/>
              </w:rPr>
            </w:pPr>
            <w:r>
              <w:rPr>
                <w:rFonts w:ascii="DIN Pro" w:hAnsi="DIN Pro"/>
                <w:b/>
                <w:sz w:val="20"/>
              </w:rPr>
              <w:t>Sortie HDMI</w:t>
            </w:r>
          </w:p>
        </w:tc>
      </w:tr>
      <w:tr w:rsidR="005B63E0" w:rsidRPr="00865467" w14:paraId="5602E2E8" w14:textId="77777777" w:rsidTr="005B63E0">
        <w:tc>
          <w:tcPr>
            <w:tcW w:w="2329" w:type="dxa"/>
          </w:tcPr>
          <w:p w14:paraId="6462B1FF" w14:textId="7FF8B907" w:rsidR="005B63E0" w:rsidRPr="00865467" w:rsidRDefault="005B63E0" w:rsidP="005660BA">
            <w:pPr>
              <w:snapToGrid w:val="0"/>
              <w:rPr>
                <w:rFonts w:ascii="DIN Pro" w:hAnsi="DIN Pro"/>
                <w:bCs/>
                <w:sz w:val="20"/>
              </w:rPr>
            </w:pPr>
            <w:r>
              <w:rPr>
                <w:rFonts w:ascii="DIN Pro" w:hAnsi="DIN Pro"/>
                <w:sz w:val="20"/>
              </w:rPr>
              <w:t xml:space="preserve">Micro </w:t>
            </w:r>
            <w:proofErr w:type="spellStart"/>
            <w:r>
              <w:rPr>
                <w:rFonts w:ascii="DIN Pro" w:hAnsi="DIN Pro"/>
                <w:sz w:val="20"/>
              </w:rPr>
              <w:t>FourThirds</w:t>
            </w:r>
            <w:proofErr w:type="spellEnd"/>
          </w:p>
        </w:tc>
        <w:tc>
          <w:tcPr>
            <w:tcW w:w="1934" w:type="dxa"/>
          </w:tcPr>
          <w:p w14:paraId="39536EDC" w14:textId="77777777" w:rsidR="005B63E0" w:rsidRPr="00865467" w:rsidRDefault="005B63E0" w:rsidP="005660BA">
            <w:pPr>
              <w:snapToGrid w:val="0"/>
              <w:rPr>
                <w:rFonts w:ascii="DIN Pro" w:hAnsi="DIN Pro"/>
                <w:bCs/>
                <w:sz w:val="20"/>
              </w:rPr>
            </w:pPr>
            <w:r>
              <w:rPr>
                <w:rFonts w:ascii="DIN Pro" w:hAnsi="DIN Pro"/>
                <w:sz w:val="20"/>
              </w:rPr>
              <w:t>4K (4096 x 2160)</w:t>
            </w:r>
          </w:p>
        </w:tc>
        <w:tc>
          <w:tcPr>
            <w:tcW w:w="3219" w:type="dxa"/>
          </w:tcPr>
          <w:p w14:paraId="50D0C4FD" w14:textId="77777777" w:rsidR="005B63E0" w:rsidRPr="00865467" w:rsidRDefault="005B63E0" w:rsidP="005660BA">
            <w:pPr>
              <w:snapToGrid w:val="0"/>
              <w:rPr>
                <w:rFonts w:ascii="DIN Pro" w:hAnsi="DIN Pro"/>
                <w:bCs/>
                <w:sz w:val="20"/>
              </w:rPr>
            </w:pPr>
            <w:r>
              <w:rPr>
                <w:rFonts w:ascii="DIN Pro" w:hAnsi="DIN Pro"/>
                <w:sz w:val="20"/>
              </w:rPr>
              <w:t>23,98p/25,00p/29,97p/50p/59,94p</w:t>
            </w:r>
          </w:p>
        </w:tc>
        <w:tc>
          <w:tcPr>
            <w:tcW w:w="917" w:type="dxa"/>
          </w:tcPr>
          <w:p w14:paraId="7421FA4B" w14:textId="77777777" w:rsidR="005B63E0" w:rsidRPr="00865467" w:rsidRDefault="005B63E0" w:rsidP="005660BA">
            <w:pPr>
              <w:snapToGrid w:val="0"/>
              <w:jc w:val="center"/>
              <w:rPr>
                <w:rFonts w:ascii="DIN Pro" w:hAnsi="DIN Pro"/>
                <w:bCs/>
                <w:sz w:val="20"/>
              </w:rPr>
            </w:pPr>
            <w:proofErr w:type="gramStart"/>
            <w:r>
              <w:rPr>
                <w:rFonts w:ascii="DIN Pro" w:hAnsi="DIN Pro"/>
                <w:sz w:val="20"/>
              </w:rPr>
              <w:t>17:</w:t>
            </w:r>
            <w:proofErr w:type="gramEnd"/>
            <w:r>
              <w:rPr>
                <w:rFonts w:ascii="DIN Pro" w:hAnsi="DIN Pro"/>
                <w:sz w:val="20"/>
              </w:rPr>
              <w:t>9</w:t>
            </w:r>
          </w:p>
        </w:tc>
        <w:tc>
          <w:tcPr>
            <w:tcW w:w="1442" w:type="dxa"/>
          </w:tcPr>
          <w:p w14:paraId="568C0E06" w14:textId="77777777" w:rsidR="005B63E0" w:rsidRPr="00865467" w:rsidRDefault="005B63E0" w:rsidP="005660BA">
            <w:pPr>
              <w:snapToGrid w:val="0"/>
              <w:jc w:val="center"/>
              <w:rPr>
                <w:rFonts w:ascii="DIN Pro" w:hAnsi="DIN Pro"/>
                <w:bCs/>
                <w:sz w:val="20"/>
              </w:rPr>
            </w:pPr>
            <w:r>
              <w:rPr>
                <w:rFonts w:ascii="DIN Pro" w:hAnsi="DIN Pro"/>
                <w:sz w:val="20"/>
              </w:rPr>
              <w:t>12 bits</w:t>
            </w:r>
          </w:p>
        </w:tc>
      </w:tr>
      <w:tr w:rsidR="005B63E0" w:rsidRPr="00865467" w14:paraId="3E88194D" w14:textId="77777777" w:rsidTr="005B63E0">
        <w:tc>
          <w:tcPr>
            <w:tcW w:w="2329" w:type="dxa"/>
          </w:tcPr>
          <w:p w14:paraId="47C7B93E" w14:textId="03DF4160" w:rsidR="005B63E0" w:rsidRPr="00865467" w:rsidRDefault="00CE4338" w:rsidP="005660BA">
            <w:pPr>
              <w:snapToGrid w:val="0"/>
              <w:rPr>
                <w:rFonts w:ascii="DIN Pro" w:hAnsi="DIN Pro"/>
                <w:bCs/>
                <w:sz w:val="20"/>
              </w:rPr>
            </w:pPr>
            <w:r>
              <w:rPr>
                <w:rFonts w:ascii="DIN Pro" w:hAnsi="DIN Pro"/>
                <w:sz w:val="20"/>
              </w:rPr>
              <w:t xml:space="preserve">Micro </w:t>
            </w:r>
            <w:proofErr w:type="spellStart"/>
            <w:r>
              <w:rPr>
                <w:rFonts w:ascii="DIN Pro" w:hAnsi="DIN Pro"/>
                <w:sz w:val="20"/>
              </w:rPr>
              <w:t>FourThirds</w:t>
            </w:r>
            <w:proofErr w:type="spellEnd"/>
            <w:r>
              <w:rPr>
                <w:rFonts w:ascii="DIN Pro" w:hAnsi="DIN Pro"/>
                <w:sz w:val="20"/>
              </w:rPr>
              <w:t xml:space="preserve"> anamorphique</w:t>
            </w:r>
          </w:p>
        </w:tc>
        <w:tc>
          <w:tcPr>
            <w:tcW w:w="1934" w:type="dxa"/>
          </w:tcPr>
          <w:p w14:paraId="541A6CFE" w14:textId="77777777" w:rsidR="005B63E0" w:rsidRPr="00865467" w:rsidRDefault="005B63E0" w:rsidP="005660BA">
            <w:pPr>
              <w:snapToGrid w:val="0"/>
              <w:rPr>
                <w:rFonts w:ascii="DIN Pro" w:hAnsi="DIN Pro"/>
                <w:bCs/>
                <w:sz w:val="20"/>
              </w:rPr>
            </w:pPr>
            <w:r>
              <w:rPr>
                <w:rFonts w:ascii="DIN Pro" w:hAnsi="DIN Pro"/>
                <w:sz w:val="20"/>
              </w:rPr>
              <w:t>3,7k (3680 x 2760)</w:t>
            </w:r>
          </w:p>
        </w:tc>
        <w:tc>
          <w:tcPr>
            <w:tcW w:w="3219" w:type="dxa"/>
          </w:tcPr>
          <w:p w14:paraId="14D43494" w14:textId="77777777" w:rsidR="005B63E0" w:rsidRPr="00865467" w:rsidRDefault="005B63E0" w:rsidP="005660BA">
            <w:pPr>
              <w:snapToGrid w:val="0"/>
              <w:rPr>
                <w:rFonts w:ascii="DIN Pro" w:hAnsi="DIN Pro"/>
                <w:bCs/>
                <w:sz w:val="20"/>
              </w:rPr>
            </w:pPr>
            <w:r>
              <w:rPr>
                <w:rFonts w:ascii="DIN Pro" w:hAnsi="DIN Pro"/>
                <w:sz w:val="20"/>
              </w:rPr>
              <w:t>23,98p/25,00p/29,97p/50p/59,94p</w:t>
            </w:r>
          </w:p>
        </w:tc>
        <w:tc>
          <w:tcPr>
            <w:tcW w:w="917" w:type="dxa"/>
          </w:tcPr>
          <w:p w14:paraId="2BF1BF40" w14:textId="77777777" w:rsidR="005B63E0" w:rsidRPr="00865467" w:rsidRDefault="005B63E0" w:rsidP="005660BA">
            <w:pPr>
              <w:snapToGrid w:val="0"/>
              <w:jc w:val="center"/>
              <w:rPr>
                <w:rFonts w:ascii="DIN Pro" w:hAnsi="DIN Pro"/>
                <w:bCs/>
                <w:sz w:val="20"/>
              </w:rPr>
            </w:pPr>
            <w:proofErr w:type="gramStart"/>
            <w:r>
              <w:rPr>
                <w:rFonts w:ascii="DIN Pro" w:hAnsi="DIN Pro"/>
                <w:sz w:val="20"/>
              </w:rPr>
              <w:t>4:</w:t>
            </w:r>
            <w:proofErr w:type="gramEnd"/>
            <w:r>
              <w:rPr>
                <w:rFonts w:ascii="DIN Pro" w:hAnsi="DIN Pro"/>
                <w:sz w:val="20"/>
              </w:rPr>
              <w:t>3</w:t>
            </w:r>
          </w:p>
        </w:tc>
        <w:tc>
          <w:tcPr>
            <w:tcW w:w="1442" w:type="dxa"/>
          </w:tcPr>
          <w:p w14:paraId="7442B78A" w14:textId="77777777" w:rsidR="005B63E0" w:rsidRPr="00865467" w:rsidRDefault="005B63E0" w:rsidP="005660BA">
            <w:pPr>
              <w:snapToGrid w:val="0"/>
              <w:jc w:val="center"/>
              <w:rPr>
                <w:rFonts w:ascii="DIN Pro" w:hAnsi="DIN Pro"/>
                <w:bCs/>
                <w:sz w:val="20"/>
              </w:rPr>
            </w:pPr>
            <w:r>
              <w:rPr>
                <w:rFonts w:ascii="DIN Pro" w:hAnsi="DIN Pro"/>
                <w:sz w:val="20"/>
              </w:rPr>
              <w:t>12 bits</w:t>
            </w:r>
          </w:p>
        </w:tc>
      </w:tr>
    </w:tbl>
    <w:p w14:paraId="063F75AB" w14:textId="29F06077" w:rsidR="005B63E0" w:rsidRPr="00865467" w:rsidRDefault="005B63E0" w:rsidP="005B63E0">
      <w:pPr>
        <w:snapToGrid w:val="0"/>
        <w:rPr>
          <w:rFonts w:ascii="DIN Pro" w:hAnsi="DIN Pro"/>
          <w:bCs/>
          <w:sz w:val="20"/>
        </w:rPr>
      </w:pPr>
      <w:r>
        <w:rPr>
          <w:rFonts w:ascii="DIN Pro" w:hAnsi="DIN Pro"/>
          <w:sz w:val="20"/>
        </w:rPr>
        <w:t xml:space="preserve">- Possibilité de choisir V-Log L ou Rec.709 sur le moniteur externe via SDI pendant la restitution du format RAW. </w:t>
      </w:r>
    </w:p>
    <w:p w14:paraId="4B91DAAA" w14:textId="05B1875B" w:rsidR="005B63E0" w:rsidRPr="00865467" w:rsidRDefault="005B63E0" w:rsidP="005B63E0">
      <w:pPr>
        <w:snapToGrid w:val="0"/>
        <w:rPr>
          <w:rFonts w:ascii="DIN Pro" w:hAnsi="DIN Pro"/>
          <w:bCs/>
          <w:sz w:val="20"/>
        </w:rPr>
      </w:pPr>
      <w:r>
        <w:rPr>
          <w:rFonts w:ascii="DIN Pro" w:hAnsi="DIN Pro"/>
          <w:sz w:val="20"/>
        </w:rPr>
        <w:lastRenderedPageBreak/>
        <w:t xml:space="preserve">- Possibilité d'utiliser des fonctions d’assistance à l’enregistrement comme V-Log L </w:t>
      </w:r>
      <w:proofErr w:type="spellStart"/>
      <w:r>
        <w:rPr>
          <w:rFonts w:ascii="DIN Pro" w:hAnsi="DIN Pro"/>
          <w:sz w:val="20"/>
        </w:rPr>
        <w:t>View</w:t>
      </w:r>
      <w:proofErr w:type="spellEnd"/>
      <w:r>
        <w:rPr>
          <w:rFonts w:ascii="DIN Pro" w:hAnsi="DIN Pro"/>
          <w:sz w:val="20"/>
        </w:rPr>
        <w:t xml:space="preserve"> Assist, Luminance Spot </w:t>
      </w:r>
      <w:proofErr w:type="spellStart"/>
      <w:r>
        <w:rPr>
          <w:rFonts w:ascii="DIN Pro" w:hAnsi="DIN Pro"/>
          <w:sz w:val="20"/>
        </w:rPr>
        <w:t>Meter</w:t>
      </w:r>
      <w:proofErr w:type="spellEnd"/>
      <w:r>
        <w:rPr>
          <w:rFonts w:ascii="DIN Pro" w:hAnsi="DIN Pro"/>
          <w:sz w:val="20"/>
        </w:rPr>
        <w:t xml:space="preserve"> et Zebra Pattern pendant la restitution du format RAW.</w:t>
      </w:r>
    </w:p>
    <w:p w14:paraId="357E98C8" w14:textId="77777777" w:rsidR="005B63E0" w:rsidRPr="001D67C8" w:rsidRDefault="005B63E0" w:rsidP="005B63E0">
      <w:pPr>
        <w:snapToGrid w:val="0"/>
        <w:contextualSpacing/>
        <w:rPr>
          <w:rFonts w:ascii="DIN Pro" w:hAnsi="DIN Pro" w:cs="Arial"/>
          <w:sz w:val="16"/>
          <w:szCs w:val="16"/>
          <w:highlight w:val="yellow"/>
          <w:shd w:val="clear" w:color="auto" w:fill="FFFFFF"/>
          <w:lang w:val="fr-CH"/>
        </w:rPr>
      </w:pPr>
    </w:p>
    <w:p w14:paraId="54B7EF25" w14:textId="77777777" w:rsidR="005B63E0" w:rsidRPr="00865467" w:rsidRDefault="005B63E0" w:rsidP="005B63E0">
      <w:pPr>
        <w:snapToGrid w:val="0"/>
        <w:contextualSpacing/>
        <w:rPr>
          <w:rFonts w:ascii="DIN Pro" w:hAnsi="DIN Pro"/>
          <w:bCs/>
          <w:sz w:val="15"/>
          <w:szCs w:val="15"/>
        </w:rPr>
      </w:pPr>
      <w:r>
        <w:rPr>
          <w:rFonts w:ascii="DIN Pro" w:hAnsi="DIN Pro"/>
          <w:sz w:val="15"/>
          <w:shd w:val="clear" w:color="auto" w:fill="FFFFFF"/>
        </w:rPr>
        <w:t>*</w:t>
      </w:r>
      <w:r>
        <w:rPr>
          <w:rFonts w:ascii="DIN Pro" w:hAnsi="DIN Pro"/>
          <w:sz w:val="15"/>
        </w:rPr>
        <w:t xml:space="preserve">Le mode d’enregistrement disponible dépend de la version du </w:t>
      </w:r>
      <w:proofErr w:type="spellStart"/>
      <w:r>
        <w:rPr>
          <w:rFonts w:ascii="DIN Pro" w:hAnsi="DIN Pro"/>
          <w:sz w:val="15"/>
        </w:rPr>
        <w:t>firmware</w:t>
      </w:r>
      <w:proofErr w:type="spellEnd"/>
      <w:r>
        <w:rPr>
          <w:rFonts w:ascii="DIN Pro" w:hAnsi="DIN Pro"/>
          <w:sz w:val="15"/>
        </w:rPr>
        <w:t xml:space="preserve"> du </w:t>
      </w:r>
      <w:proofErr w:type="spellStart"/>
      <w:r>
        <w:rPr>
          <w:rFonts w:ascii="DIN Pro" w:hAnsi="DIN Pro"/>
          <w:sz w:val="15"/>
        </w:rPr>
        <w:t>Blackmagic</w:t>
      </w:r>
      <w:proofErr w:type="spellEnd"/>
      <w:r>
        <w:rPr>
          <w:rFonts w:ascii="DIN Pro" w:hAnsi="DIN Pro"/>
          <w:sz w:val="15"/>
        </w:rPr>
        <w:t xml:space="preserve"> </w:t>
      </w:r>
      <w:proofErr w:type="spellStart"/>
      <w:r>
        <w:rPr>
          <w:rFonts w:ascii="DIN Pro" w:hAnsi="DIN Pro"/>
          <w:sz w:val="15"/>
        </w:rPr>
        <w:t>Video</w:t>
      </w:r>
      <w:proofErr w:type="spellEnd"/>
      <w:r>
        <w:rPr>
          <w:rFonts w:ascii="DIN Pro" w:hAnsi="DIN Pro"/>
          <w:sz w:val="15"/>
        </w:rPr>
        <w:t xml:space="preserve"> Assist 12G HDR.</w:t>
      </w:r>
    </w:p>
    <w:p w14:paraId="2F5E4B04" w14:textId="77777777" w:rsidR="005B63E0" w:rsidRPr="00865467" w:rsidRDefault="005B63E0" w:rsidP="005B63E0">
      <w:pPr>
        <w:snapToGrid w:val="0"/>
        <w:contextualSpacing/>
        <w:rPr>
          <w:rFonts w:ascii="DIN Pro" w:hAnsi="DIN Pro"/>
          <w:bCs/>
          <w:sz w:val="15"/>
          <w:szCs w:val="15"/>
        </w:rPr>
      </w:pPr>
      <w:r>
        <w:rPr>
          <w:rFonts w:ascii="DIN Pro" w:hAnsi="DIN Pro"/>
          <w:sz w:val="15"/>
        </w:rPr>
        <w:t xml:space="preserve">*Des informations sur la version correspondante du </w:t>
      </w:r>
      <w:proofErr w:type="spellStart"/>
      <w:r>
        <w:rPr>
          <w:rFonts w:ascii="DIN Pro" w:hAnsi="DIN Pro"/>
          <w:sz w:val="15"/>
        </w:rPr>
        <w:t>firmware</w:t>
      </w:r>
      <w:proofErr w:type="spellEnd"/>
      <w:r>
        <w:rPr>
          <w:rFonts w:ascii="DIN Pro" w:hAnsi="DIN Pro"/>
          <w:sz w:val="15"/>
        </w:rPr>
        <w:t xml:space="preserve"> du </w:t>
      </w:r>
      <w:proofErr w:type="spellStart"/>
      <w:r>
        <w:rPr>
          <w:rFonts w:ascii="DIN Pro" w:hAnsi="DIN Pro"/>
          <w:sz w:val="15"/>
        </w:rPr>
        <w:t>Blackmagic</w:t>
      </w:r>
      <w:proofErr w:type="spellEnd"/>
      <w:r>
        <w:rPr>
          <w:rFonts w:ascii="DIN Pro" w:hAnsi="DIN Pro"/>
          <w:sz w:val="15"/>
        </w:rPr>
        <w:t xml:space="preserve"> </w:t>
      </w:r>
      <w:proofErr w:type="spellStart"/>
      <w:r>
        <w:rPr>
          <w:rFonts w:ascii="DIN Pro" w:hAnsi="DIN Pro"/>
          <w:sz w:val="15"/>
        </w:rPr>
        <w:t>Video</w:t>
      </w:r>
      <w:proofErr w:type="spellEnd"/>
      <w:r>
        <w:rPr>
          <w:rFonts w:ascii="DIN Pro" w:hAnsi="DIN Pro"/>
          <w:sz w:val="15"/>
        </w:rPr>
        <w:t xml:space="preserve"> Assist 12G HDR sont disponibles sur le site web de </w:t>
      </w:r>
      <w:proofErr w:type="spellStart"/>
      <w:r>
        <w:rPr>
          <w:rFonts w:ascii="DIN Pro" w:hAnsi="DIN Pro"/>
          <w:sz w:val="15"/>
        </w:rPr>
        <w:t>Blackmagic</w:t>
      </w:r>
      <w:proofErr w:type="spellEnd"/>
      <w:r>
        <w:rPr>
          <w:rFonts w:ascii="DIN Pro" w:hAnsi="DIN Pro"/>
          <w:sz w:val="15"/>
        </w:rPr>
        <w:t xml:space="preserve"> Design.</w:t>
      </w:r>
    </w:p>
    <w:p w14:paraId="4F70937F" w14:textId="77777777" w:rsidR="005B63E0" w:rsidRPr="00865467" w:rsidRDefault="005B63E0" w:rsidP="005B63E0">
      <w:pPr>
        <w:snapToGrid w:val="0"/>
        <w:contextualSpacing/>
        <w:rPr>
          <w:rFonts w:ascii="DIN Pro" w:hAnsi="DIN Pro"/>
          <w:bCs/>
          <w:sz w:val="15"/>
          <w:szCs w:val="15"/>
        </w:rPr>
      </w:pPr>
      <w:r>
        <w:rPr>
          <w:rFonts w:ascii="DIN Pro" w:hAnsi="DIN Pro"/>
          <w:sz w:val="15"/>
        </w:rPr>
        <w:t xml:space="preserve">* La restitution et le traitement des données RAW </w:t>
      </w:r>
      <w:proofErr w:type="gramStart"/>
      <w:r>
        <w:rPr>
          <w:rFonts w:ascii="DIN Pro" w:hAnsi="DIN Pro"/>
          <w:sz w:val="15"/>
        </w:rPr>
        <w:t>nécessitent</w:t>
      </w:r>
      <w:proofErr w:type="gramEnd"/>
      <w:r>
        <w:rPr>
          <w:rFonts w:ascii="DIN Pro" w:hAnsi="DIN Pro"/>
          <w:sz w:val="15"/>
        </w:rPr>
        <w:t xml:space="preserve"> </w:t>
      </w:r>
      <w:proofErr w:type="spellStart"/>
      <w:r>
        <w:rPr>
          <w:rFonts w:ascii="DIN Pro" w:hAnsi="DIN Pro"/>
          <w:sz w:val="15"/>
        </w:rPr>
        <w:t>DaVinci</w:t>
      </w:r>
      <w:proofErr w:type="spellEnd"/>
      <w:r>
        <w:rPr>
          <w:rFonts w:ascii="DIN Pro" w:hAnsi="DIN Pro"/>
          <w:sz w:val="15"/>
        </w:rPr>
        <w:t xml:space="preserve"> </w:t>
      </w:r>
      <w:proofErr w:type="spellStart"/>
      <w:r>
        <w:rPr>
          <w:rFonts w:ascii="DIN Pro" w:hAnsi="DIN Pro"/>
          <w:sz w:val="15"/>
        </w:rPr>
        <w:t>Resolve</w:t>
      </w:r>
      <w:proofErr w:type="spellEnd"/>
      <w:r>
        <w:rPr>
          <w:rFonts w:ascii="DIN Pro" w:hAnsi="DIN Pro"/>
          <w:sz w:val="15"/>
        </w:rPr>
        <w:t xml:space="preserve"> ou </w:t>
      </w:r>
      <w:proofErr w:type="spellStart"/>
      <w:r>
        <w:rPr>
          <w:rFonts w:ascii="DIN Pro" w:hAnsi="DIN Pro"/>
          <w:sz w:val="15"/>
        </w:rPr>
        <w:t>DaVinci</w:t>
      </w:r>
      <w:proofErr w:type="spellEnd"/>
      <w:r>
        <w:rPr>
          <w:rFonts w:ascii="DIN Pro" w:hAnsi="DIN Pro"/>
          <w:sz w:val="15"/>
        </w:rPr>
        <w:t xml:space="preserve"> </w:t>
      </w:r>
      <w:proofErr w:type="spellStart"/>
      <w:r>
        <w:rPr>
          <w:rFonts w:ascii="DIN Pro" w:hAnsi="DIN Pro"/>
          <w:sz w:val="15"/>
        </w:rPr>
        <w:t>Resolve</w:t>
      </w:r>
      <w:proofErr w:type="spellEnd"/>
      <w:r>
        <w:rPr>
          <w:rFonts w:ascii="DIN Pro" w:hAnsi="DIN Pro"/>
          <w:sz w:val="15"/>
        </w:rPr>
        <w:t xml:space="preserve"> Studio. </w:t>
      </w:r>
      <w:proofErr w:type="spellStart"/>
      <w:r>
        <w:rPr>
          <w:rFonts w:ascii="DIN Pro" w:hAnsi="DIN Pro"/>
          <w:sz w:val="15"/>
        </w:rPr>
        <w:t>DaVinci</w:t>
      </w:r>
      <w:proofErr w:type="spellEnd"/>
      <w:r>
        <w:rPr>
          <w:rFonts w:ascii="DIN Pro" w:hAnsi="DIN Pro"/>
          <w:sz w:val="15"/>
        </w:rPr>
        <w:t xml:space="preserve"> </w:t>
      </w:r>
      <w:proofErr w:type="spellStart"/>
      <w:r>
        <w:rPr>
          <w:rFonts w:ascii="DIN Pro" w:hAnsi="DIN Pro"/>
          <w:sz w:val="15"/>
        </w:rPr>
        <w:t>Resolve</w:t>
      </w:r>
      <w:proofErr w:type="spellEnd"/>
      <w:r>
        <w:rPr>
          <w:rFonts w:ascii="DIN Pro" w:hAnsi="DIN Pro"/>
          <w:sz w:val="15"/>
        </w:rPr>
        <w:t xml:space="preserve"> Studio est requis pour livrer des projets avec des données </w:t>
      </w:r>
      <w:proofErr w:type="spellStart"/>
      <w:r>
        <w:rPr>
          <w:rFonts w:ascii="DIN Pro" w:hAnsi="DIN Pro"/>
          <w:sz w:val="15"/>
        </w:rPr>
        <w:t>Blackmagic</w:t>
      </w:r>
      <w:proofErr w:type="spellEnd"/>
      <w:r>
        <w:rPr>
          <w:rFonts w:ascii="DIN Pro" w:hAnsi="DIN Pro"/>
          <w:sz w:val="15"/>
        </w:rPr>
        <w:t xml:space="preserve"> RAW dans des résolutions supérieures à 3840x2160.</w:t>
      </w:r>
    </w:p>
    <w:p w14:paraId="2CD74E13" w14:textId="77777777" w:rsidR="005B63E0" w:rsidRPr="00865467" w:rsidRDefault="005B63E0" w:rsidP="005B63E0">
      <w:pPr>
        <w:snapToGrid w:val="0"/>
        <w:contextualSpacing/>
        <w:rPr>
          <w:rFonts w:ascii="DIN Pro" w:hAnsi="DIN Pro"/>
          <w:bCs/>
          <w:sz w:val="15"/>
          <w:szCs w:val="15"/>
        </w:rPr>
      </w:pPr>
      <w:r>
        <w:rPr>
          <w:rFonts w:ascii="DIN Pro" w:hAnsi="DIN Pro"/>
          <w:sz w:val="15"/>
        </w:rPr>
        <w:t>*Selon la situation, toutes les fonctions peuvent ne pas être disponibles.</w:t>
      </w:r>
    </w:p>
    <w:p w14:paraId="5ADAE7B2" w14:textId="77777777" w:rsidR="005B63E0" w:rsidRPr="001D67C8" w:rsidRDefault="005B63E0" w:rsidP="005B63E0">
      <w:pPr>
        <w:snapToGrid w:val="0"/>
        <w:rPr>
          <w:rFonts w:ascii="DIN Pro" w:hAnsi="DIN Pro" w:cs="Arial"/>
          <w:lang w:val="fr-CH"/>
        </w:rPr>
      </w:pPr>
    </w:p>
    <w:p w14:paraId="1AF78BBB" w14:textId="77777777" w:rsidR="005B63E0" w:rsidRPr="00865467" w:rsidRDefault="005B63E0" w:rsidP="005B63E0">
      <w:pPr>
        <w:snapToGrid w:val="0"/>
        <w:rPr>
          <w:rFonts w:ascii="DIN Pro" w:hAnsi="DIN Pro"/>
          <w:bCs/>
          <w:sz w:val="20"/>
        </w:rPr>
      </w:pPr>
      <w:r>
        <w:rPr>
          <w:rFonts w:ascii="DIN Pro" w:hAnsi="DIN Pro"/>
          <w:sz w:val="20"/>
        </w:rPr>
        <w:t>2. Fonctions ajoutées</w:t>
      </w:r>
    </w:p>
    <w:p w14:paraId="25B84646" w14:textId="25695119" w:rsidR="005B63E0" w:rsidRPr="00865467" w:rsidRDefault="005B63E0" w:rsidP="005B63E0">
      <w:pPr>
        <w:snapToGrid w:val="0"/>
        <w:rPr>
          <w:rFonts w:ascii="DIN Pro" w:hAnsi="DIN Pro"/>
          <w:bCs/>
          <w:sz w:val="20"/>
        </w:rPr>
      </w:pPr>
      <w:r>
        <w:rPr>
          <w:rFonts w:ascii="DIN Pro" w:hAnsi="DIN Pro"/>
          <w:sz w:val="20"/>
        </w:rPr>
        <w:t>- La fonction [Focus Ring Control] a été ajoutée.</w:t>
      </w:r>
    </w:p>
    <w:p w14:paraId="080D9B3D" w14:textId="77777777" w:rsidR="00CE4338" w:rsidRPr="00865467" w:rsidRDefault="00CE4338" w:rsidP="00CE4338">
      <w:pPr>
        <w:snapToGrid w:val="0"/>
        <w:ind w:leftChars="100" w:left="240"/>
        <w:rPr>
          <w:rFonts w:ascii="DIN Pro" w:hAnsi="DIN Pro"/>
          <w:bCs/>
          <w:sz w:val="20"/>
        </w:rPr>
      </w:pPr>
      <w:r>
        <w:rPr>
          <w:rFonts w:ascii="DIN Pro" w:hAnsi="DIN Pro"/>
          <w:sz w:val="20"/>
        </w:rPr>
        <w:t xml:space="preserve">Objectifs </w:t>
      </w:r>
      <w:proofErr w:type="gramStart"/>
      <w:r>
        <w:rPr>
          <w:rFonts w:ascii="DIN Pro" w:hAnsi="DIN Pro"/>
          <w:sz w:val="20"/>
        </w:rPr>
        <w:t>compatibles:</w:t>
      </w:r>
      <w:proofErr w:type="gramEnd"/>
      <w:r>
        <w:rPr>
          <w:rFonts w:ascii="DIN Pro" w:hAnsi="DIN Pro"/>
          <w:sz w:val="20"/>
        </w:rPr>
        <w:t xml:space="preserve"> H-XA025, H-ES200, H-E08018, H-X1025, H-HSA12035, H-ES12060, H-FS12060, H-X2550, HSA35100, H-FSA45200, H-ES50200, H-FSA100300 </w:t>
      </w:r>
      <w:proofErr w:type="spellStart"/>
      <w:r>
        <w:rPr>
          <w:rFonts w:ascii="DIN Pro" w:hAnsi="DIN Pro"/>
          <w:sz w:val="20"/>
        </w:rPr>
        <w:t>und</w:t>
      </w:r>
      <w:proofErr w:type="spellEnd"/>
      <w:r>
        <w:rPr>
          <w:rFonts w:ascii="DIN Pro" w:hAnsi="DIN Pro"/>
          <w:sz w:val="20"/>
        </w:rPr>
        <w:t xml:space="preserve"> H-RS100400</w:t>
      </w:r>
    </w:p>
    <w:p w14:paraId="4957E216" w14:textId="6598D62B" w:rsidR="005B63E0" w:rsidRPr="00865467" w:rsidRDefault="005B63E0" w:rsidP="00D72E58">
      <w:pPr>
        <w:pStyle w:val="Listenabsatz"/>
        <w:numPr>
          <w:ilvl w:val="0"/>
          <w:numId w:val="5"/>
        </w:numPr>
        <w:snapToGrid w:val="0"/>
        <w:rPr>
          <w:rFonts w:ascii="DIN Pro" w:hAnsi="DIN Pro"/>
          <w:bCs/>
          <w:sz w:val="20"/>
        </w:rPr>
      </w:pPr>
      <w:r>
        <w:rPr>
          <w:rFonts w:ascii="DIN Pro" w:hAnsi="DIN Pro"/>
          <w:sz w:val="20"/>
        </w:rPr>
        <w:t>La fonction [Sortie de données RAW HDMI] peut être affectée à la touche Fn pour que les utilisateurs puissent l’activer ou la désactiver directement sur l’appareil photo.</w:t>
      </w:r>
    </w:p>
    <w:p w14:paraId="4B89532A" w14:textId="77777777" w:rsidR="005B63E0" w:rsidRPr="001D67C8" w:rsidRDefault="005B63E0" w:rsidP="005B63E0">
      <w:pPr>
        <w:snapToGrid w:val="0"/>
        <w:rPr>
          <w:rFonts w:ascii="DIN Pro" w:hAnsi="DIN Pro"/>
          <w:bCs/>
          <w:sz w:val="20"/>
          <w:lang w:val="fr-CH"/>
        </w:rPr>
      </w:pPr>
    </w:p>
    <w:p w14:paraId="6E483EAF" w14:textId="77777777" w:rsidR="005B63E0" w:rsidRPr="00865467" w:rsidRDefault="005B63E0" w:rsidP="005B63E0">
      <w:pPr>
        <w:snapToGrid w:val="0"/>
        <w:rPr>
          <w:rFonts w:ascii="DIN Pro" w:hAnsi="DIN Pro"/>
          <w:bCs/>
          <w:sz w:val="20"/>
        </w:rPr>
      </w:pPr>
      <w:r>
        <w:rPr>
          <w:rFonts w:ascii="DIN Pro" w:hAnsi="DIN Pro"/>
          <w:sz w:val="20"/>
        </w:rPr>
        <w:t xml:space="preserve">3. Version du logiciel LUMIX </w:t>
      </w:r>
      <w:proofErr w:type="spellStart"/>
      <w:r>
        <w:rPr>
          <w:rFonts w:ascii="DIN Pro" w:hAnsi="DIN Pro"/>
          <w:sz w:val="20"/>
        </w:rPr>
        <w:t>Tether</w:t>
      </w:r>
      <w:proofErr w:type="spellEnd"/>
      <w:r>
        <w:rPr>
          <w:rFonts w:ascii="DIN Pro" w:hAnsi="DIN Pro"/>
          <w:sz w:val="20"/>
        </w:rPr>
        <w:t xml:space="preserve"> for </w:t>
      </w:r>
      <w:proofErr w:type="spellStart"/>
      <w:r>
        <w:rPr>
          <w:rFonts w:ascii="DIN Pro" w:hAnsi="DIN Pro"/>
          <w:sz w:val="20"/>
        </w:rPr>
        <w:t>Multicam</w:t>
      </w:r>
      <w:proofErr w:type="spellEnd"/>
      <w:r>
        <w:rPr>
          <w:rFonts w:ascii="DIN Pro" w:hAnsi="DIN Pro"/>
          <w:sz w:val="20"/>
        </w:rPr>
        <w:t xml:space="preserve"> 1.3.</w:t>
      </w:r>
    </w:p>
    <w:p w14:paraId="6499A3E7" w14:textId="484C3FA9" w:rsidR="005B63E0" w:rsidRPr="00865467" w:rsidRDefault="005B63E0" w:rsidP="005B63E0">
      <w:pPr>
        <w:snapToGrid w:val="0"/>
        <w:rPr>
          <w:rFonts w:ascii="DIN Pro" w:hAnsi="DIN Pro"/>
          <w:bCs/>
          <w:sz w:val="20"/>
        </w:rPr>
      </w:pPr>
      <w:r>
        <w:rPr>
          <w:rFonts w:ascii="DIN Pro" w:hAnsi="DIN Pro"/>
          <w:sz w:val="20"/>
        </w:rPr>
        <w:t>- Possibilité d’utiliser des filtres [Photo Style] pour les prises de vue.</w:t>
      </w:r>
    </w:p>
    <w:p w14:paraId="0F4C0BAB" w14:textId="0063F90E" w:rsidR="005B63E0" w:rsidRPr="00865467" w:rsidRDefault="005B63E0" w:rsidP="005B63E0">
      <w:pPr>
        <w:snapToGrid w:val="0"/>
        <w:rPr>
          <w:rFonts w:ascii="DIN Pro" w:hAnsi="DIN Pro"/>
          <w:bCs/>
          <w:sz w:val="20"/>
        </w:rPr>
      </w:pPr>
      <w:r>
        <w:rPr>
          <w:rFonts w:ascii="DIN Pro" w:hAnsi="DIN Pro"/>
          <w:sz w:val="20"/>
        </w:rPr>
        <w:t>- Possibilité de télécommander le mode zoom des objectifs LUMIX G Power Zoom (H-PS14042 et H-PS45175).</w:t>
      </w:r>
    </w:p>
    <w:p w14:paraId="73685118" w14:textId="77777777" w:rsidR="005B63E0" w:rsidRPr="001D67C8" w:rsidRDefault="005B63E0" w:rsidP="005B63E0">
      <w:pPr>
        <w:snapToGrid w:val="0"/>
        <w:rPr>
          <w:rFonts w:ascii="DIN Pro" w:hAnsi="DIN Pro" w:cs="Arial"/>
          <w:bCs/>
          <w:sz w:val="16"/>
          <w:szCs w:val="16"/>
          <w:lang w:val="fr-CH"/>
        </w:rPr>
      </w:pPr>
    </w:p>
    <w:p w14:paraId="03FC0BD8" w14:textId="72141E1C" w:rsidR="005B63E0" w:rsidRPr="00865467" w:rsidRDefault="005B63E0" w:rsidP="005B63E0">
      <w:pPr>
        <w:snapToGrid w:val="0"/>
        <w:rPr>
          <w:rFonts w:ascii="DIN Pro" w:hAnsi="DIN Pro"/>
          <w:sz w:val="15"/>
          <w:szCs w:val="15"/>
        </w:rPr>
      </w:pPr>
      <w:bookmarkStart w:id="0" w:name="_Hlk74752607"/>
      <w:proofErr w:type="gramStart"/>
      <w:r>
        <w:rPr>
          <w:rFonts w:ascii="DIN Pro" w:hAnsi="DIN Pro"/>
          <w:sz w:val="15"/>
        </w:rPr>
        <w:t>•</w:t>
      </w:r>
      <w:bookmarkEnd w:id="0"/>
      <w:r>
        <w:rPr>
          <w:rFonts w:ascii="DIN Pro" w:hAnsi="DIN Pro"/>
          <w:sz w:val="15"/>
        </w:rPr>
        <w:t>«</w:t>
      </w:r>
      <w:proofErr w:type="spellStart"/>
      <w:r>
        <w:rPr>
          <w:rFonts w:ascii="DIN Pro" w:hAnsi="DIN Pro"/>
          <w:sz w:val="15"/>
        </w:rPr>
        <w:t>Blackmagic</w:t>
      </w:r>
      <w:proofErr w:type="spellEnd"/>
      <w:proofErr w:type="gramEnd"/>
      <w:r>
        <w:rPr>
          <w:rFonts w:ascii="DIN Pro" w:hAnsi="DIN Pro"/>
          <w:sz w:val="15"/>
        </w:rPr>
        <w:t xml:space="preserve"> Design», «</w:t>
      </w:r>
      <w:proofErr w:type="spellStart"/>
      <w:r>
        <w:rPr>
          <w:rFonts w:ascii="DIN Pro" w:hAnsi="DIN Pro"/>
          <w:sz w:val="15"/>
        </w:rPr>
        <w:t>Blackmagic</w:t>
      </w:r>
      <w:proofErr w:type="spellEnd"/>
      <w:r>
        <w:rPr>
          <w:rFonts w:ascii="DIN Pro" w:hAnsi="DIN Pro"/>
          <w:sz w:val="15"/>
        </w:rPr>
        <w:t xml:space="preserve"> RAW» et «</w:t>
      </w:r>
      <w:proofErr w:type="spellStart"/>
      <w:r>
        <w:rPr>
          <w:rFonts w:ascii="DIN Pro" w:hAnsi="DIN Pro"/>
          <w:sz w:val="15"/>
        </w:rPr>
        <w:t>DaVinci</w:t>
      </w:r>
      <w:proofErr w:type="spellEnd"/>
      <w:r>
        <w:rPr>
          <w:rFonts w:ascii="DIN Pro" w:hAnsi="DIN Pro"/>
          <w:sz w:val="15"/>
        </w:rPr>
        <w:t xml:space="preserve"> </w:t>
      </w:r>
      <w:proofErr w:type="spellStart"/>
      <w:r>
        <w:rPr>
          <w:rFonts w:ascii="DIN Pro" w:hAnsi="DIN Pro"/>
          <w:sz w:val="15"/>
        </w:rPr>
        <w:t>Resolve</w:t>
      </w:r>
      <w:proofErr w:type="spellEnd"/>
      <w:r>
        <w:rPr>
          <w:rFonts w:ascii="DIN Pro" w:hAnsi="DIN Pro"/>
          <w:sz w:val="15"/>
        </w:rPr>
        <w:t xml:space="preserve">» sont des marques déposées de </w:t>
      </w:r>
      <w:proofErr w:type="spellStart"/>
      <w:r>
        <w:rPr>
          <w:rFonts w:ascii="DIN Pro" w:hAnsi="DIN Pro"/>
          <w:sz w:val="15"/>
        </w:rPr>
        <w:t>Blackmagic</w:t>
      </w:r>
      <w:proofErr w:type="spellEnd"/>
      <w:r>
        <w:rPr>
          <w:rFonts w:ascii="DIN Pro" w:hAnsi="DIN Pro"/>
          <w:sz w:val="15"/>
        </w:rPr>
        <w:t xml:space="preserve"> Design </w:t>
      </w:r>
      <w:proofErr w:type="spellStart"/>
      <w:r>
        <w:rPr>
          <w:rFonts w:ascii="DIN Pro" w:hAnsi="DIN Pro"/>
          <w:sz w:val="15"/>
        </w:rPr>
        <w:t>Pty</w:t>
      </w:r>
      <w:proofErr w:type="spellEnd"/>
      <w:r>
        <w:rPr>
          <w:rFonts w:ascii="DIN Pro" w:hAnsi="DIN Pro"/>
          <w:sz w:val="15"/>
        </w:rPr>
        <w:t xml:space="preserve">. Ltd. </w:t>
      </w:r>
    </w:p>
    <w:p w14:paraId="775F1656" w14:textId="77777777" w:rsidR="005B63E0" w:rsidRPr="00865467" w:rsidRDefault="005B63E0" w:rsidP="005B63E0">
      <w:pPr>
        <w:snapToGrid w:val="0"/>
        <w:rPr>
          <w:rFonts w:ascii="DIN Pro" w:hAnsi="DIN Pro"/>
          <w:bCs/>
          <w:sz w:val="15"/>
          <w:szCs w:val="15"/>
        </w:rPr>
      </w:pPr>
      <w:r>
        <w:rPr>
          <w:rFonts w:ascii="DIN Pro" w:hAnsi="DIN Pro"/>
          <w:sz w:val="15"/>
        </w:rPr>
        <w:t>•Les autres marques et noms commerciaux sont ceux de leurs propriétaires respectifs.</w:t>
      </w:r>
    </w:p>
    <w:p w14:paraId="15E8DC47" w14:textId="77777777" w:rsidR="005B63E0" w:rsidRPr="00865467" w:rsidRDefault="005B63E0" w:rsidP="005B63E0">
      <w:pPr>
        <w:snapToGrid w:val="0"/>
        <w:rPr>
          <w:rFonts w:ascii="DIN Pro" w:hAnsi="DIN Pro"/>
          <w:bCs/>
          <w:sz w:val="15"/>
          <w:szCs w:val="15"/>
        </w:rPr>
      </w:pPr>
      <w:r>
        <w:rPr>
          <w:rFonts w:ascii="DIN Pro" w:hAnsi="DIN Pro"/>
          <w:sz w:val="15"/>
        </w:rPr>
        <w:t>•Selon la situation, toutes les fonctions peuvent ne pas être disponibles.</w:t>
      </w:r>
    </w:p>
    <w:p w14:paraId="21574D29" w14:textId="77777777" w:rsidR="005B63E0" w:rsidRPr="00865467" w:rsidRDefault="005B63E0" w:rsidP="005B63E0">
      <w:pPr>
        <w:snapToGrid w:val="0"/>
        <w:spacing w:afterLines="50" w:after="120"/>
        <w:rPr>
          <w:rFonts w:ascii="DIN Pro" w:hAnsi="DIN Pro"/>
          <w:bCs/>
          <w:sz w:val="15"/>
          <w:szCs w:val="15"/>
        </w:rPr>
      </w:pPr>
      <w:r>
        <w:rPr>
          <w:rFonts w:ascii="DIN Pro" w:hAnsi="DIN Pro"/>
          <w:sz w:val="15"/>
        </w:rPr>
        <w:t>•Le design et les spécifications peuvent faire l’objet de modifications sans préavis.</w:t>
      </w:r>
    </w:p>
    <w:p w14:paraId="505FA005" w14:textId="77777777" w:rsidR="00656AFD" w:rsidRPr="001D67C8" w:rsidRDefault="00656AFD" w:rsidP="00E428D7">
      <w:pPr>
        <w:ind w:right="13"/>
        <w:rPr>
          <w:rFonts w:ascii="DIN Pro" w:hAnsi="DIN Pro" w:cs="Arial"/>
          <w:b/>
          <w:color w:val="000000"/>
          <w:sz w:val="15"/>
          <w:szCs w:val="15"/>
          <w:u w:val="single"/>
          <w:lang w:val="fr-CH"/>
        </w:rPr>
      </w:pPr>
    </w:p>
    <w:p w14:paraId="0BBE68A4" w14:textId="77777777" w:rsidR="00656AFD" w:rsidRPr="001D67C8" w:rsidRDefault="00656AFD" w:rsidP="00E428D7">
      <w:pPr>
        <w:ind w:right="13"/>
        <w:rPr>
          <w:rFonts w:ascii="DIN Pro" w:hAnsi="DIN Pro" w:cs="Arial"/>
          <w:b/>
          <w:color w:val="000000"/>
          <w:sz w:val="20"/>
          <w:u w:val="single"/>
          <w:lang w:val="fr-CH"/>
        </w:rPr>
      </w:pPr>
    </w:p>
    <w:p w14:paraId="7DD2BF77" w14:textId="77777777" w:rsidR="00865467" w:rsidRDefault="00865467">
      <w:pPr>
        <w:rPr>
          <w:rFonts w:ascii="DIN-Bold" w:hAnsi="DIN-Bold" w:cs="Arial"/>
          <w:b/>
          <w:color w:val="000000"/>
          <w:sz w:val="20"/>
          <w:u w:val="single"/>
        </w:rPr>
      </w:pPr>
      <w:r>
        <w:br w:type="page"/>
      </w:r>
    </w:p>
    <w:p w14:paraId="55415853" w14:textId="5E40FA64" w:rsidR="00865467" w:rsidRPr="002C3C89" w:rsidRDefault="00865467" w:rsidP="00865467">
      <w:pPr>
        <w:ind w:right="13"/>
        <w:rPr>
          <w:rFonts w:ascii="DIN-Bold" w:hAnsi="DIN-Bold" w:cs="Arial"/>
          <w:b/>
          <w:color w:val="000000"/>
          <w:sz w:val="20"/>
          <w:u w:val="single"/>
        </w:rPr>
      </w:pPr>
      <w:r>
        <w:rPr>
          <w:rFonts w:ascii="DIN-Bold" w:hAnsi="DIN-Bold"/>
          <w:b/>
          <w:color w:val="000000"/>
          <w:sz w:val="20"/>
          <w:u w:val="single"/>
        </w:rPr>
        <w:lastRenderedPageBreak/>
        <w:t xml:space="preserve">À propos de </w:t>
      </w:r>
      <w:proofErr w:type="gramStart"/>
      <w:r>
        <w:rPr>
          <w:rFonts w:ascii="DIN-Bold" w:hAnsi="DIN-Bold"/>
          <w:b/>
          <w:color w:val="000000"/>
          <w:sz w:val="20"/>
          <w:u w:val="single"/>
        </w:rPr>
        <w:t>Panasonic:</w:t>
      </w:r>
      <w:proofErr w:type="gramEnd"/>
    </w:p>
    <w:p w14:paraId="46E64EE1" w14:textId="4B3C2EBE" w:rsidR="00865467" w:rsidRPr="00FE2D85" w:rsidRDefault="00865467" w:rsidP="00865467">
      <w:pPr>
        <w:rPr>
          <w:rFonts w:ascii="DIN-Regular" w:hAnsi="DIN-Regular" w:cs="Arial"/>
          <w:sz w:val="20"/>
        </w:rPr>
      </w:pPr>
      <w:r>
        <w:rPr>
          <w:rFonts w:ascii="DIN-Regular" w:hAnsi="DIN-Regular"/>
          <w:sz w:val="20"/>
        </w:rPr>
        <w:t>Panasonic Corporation est un leader mondial dans le développement de diverses technologies et de solutions innovantes pour une large palette d’applications dans les domaines de l’électronique grand public, l’électroménager, l’automobile et la vente aux entreprises. L’année 2018 a marqué le centenaire de l’entreprise. Panasonic se développe à l’échelle mondiale et compte actuellement 522 filiales et 69 entreprises associées. Le groupe a enregistré un chiffre d’affaires net consolidé de 54,02 milliards d’euros au cours de l’exercice précédent (clos le 31 mars 2021). Déterminée à produire une valeur ajoutée en innovant dans tous les secteurs de son industrie, la société utilise son savoir-faire afin de créer une vie et un monde meilleurs pour ses clients. Des informations complémentaires sur l’entreprise et sur la marque Panasonic sont disponibles sur</w:t>
      </w:r>
      <w:hyperlink r:id="rId13" w:history="1">
        <w:r>
          <w:rPr>
            <w:rStyle w:val="Hyperlink"/>
            <w:rFonts w:ascii="DIN-Regular" w:hAnsi="DIN-Regular"/>
            <w:sz w:val="20"/>
          </w:rPr>
          <w:t>www.panasonic.com/global/home.html</w:t>
        </w:r>
      </w:hyperlink>
      <w:r>
        <w:rPr>
          <w:rFonts w:ascii="DIN-Regular" w:hAnsi="DIN-Regular"/>
          <w:sz w:val="20"/>
        </w:rPr>
        <w:t xml:space="preserve"> et </w:t>
      </w:r>
      <w:hyperlink r:id="rId14" w:history="1">
        <w:r>
          <w:rPr>
            <w:rStyle w:val="Hyperlink"/>
            <w:rFonts w:ascii="DIN-Regular" w:hAnsi="DIN-Regular"/>
            <w:sz w:val="20"/>
          </w:rPr>
          <w:t>www.experience.panasonic.ch/</w:t>
        </w:r>
      </w:hyperlink>
      <w:r>
        <w:rPr>
          <w:rFonts w:ascii="DIN-Regular" w:hAnsi="DIN-Regular"/>
          <w:sz w:val="20"/>
        </w:rPr>
        <w:t>.</w:t>
      </w:r>
    </w:p>
    <w:p w14:paraId="0C6CE8B4" w14:textId="77777777" w:rsidR="00865467" w:rsidRPr="001D67C8" w:rsidRDefault="00865467" w:rsidP="00865467">
      <w:pPr>
        <w:ind w:right="13"/>
        <w:rPr>
          <w:rFonts w:ascii="DIN-Regular" w:hAnsi="DIN-Regular" w:cs="Arial"/>
          <w:color w:val="000000"/>
          <w:sz w:val="20"/>
          <w:lang w:val="fr-CH"/>
        </w:rPr>
      </w:pPr>
    </w:p>
    <w:p w14:paraId="4928087F" w14:textId="77777777" w:rsidR="00865467" w:rsidRPr="001D67C8" w:rsidRDefault="00865467" w:rsidP="00865467">
      <w:pPr>
        <w:ind w:right="13"/>
        <w:rPr>
          <w:rFonts w:ascii="DIN-Regular" w:hAnsi="DIN-Regular" w:cs="Arial"/>
          <w:color w:val="000000"/>
          <w:sz w:val="20"/>
          <w:lang w:val="fr-CH"/>
        </w:rPr>
      </w:pPr>
    </w:p>
    <w:p w14:paraId="1FDAD870" w14:textId="77777777" w:rsidR="00865467" w:rsidRPr="00991C5F" w:rsidRDefault="00865467" w:rsidP="00865467">
      <w:pPr>
        <w:pStyle w:val="Copy"/>
        <w:keepNext/>
        <w:keepLines/>
        <w:spacing w:line="240" w:lineRule="auto"/>
        <w:ind w:right="13"/>
        <w:rPr>
          <w:rFonts w:ascii="DIN-Bold" w:eastAsia="Times New Roman" w:hAnsi="DIN-Bold"/>
        </w:rPr>
      </w:pPr>
      <w:r>
        <w:rPr>
          <w:rFonts w:ascii="DIN-Bold" w:hAnsi="DIN-Bold"/>
        </w:rPr>
        <w:t xml:space="preserve">Informations </w:t>
      </w:r>
      <w:proofErr w:type="gramStart"/>
      <w:r>
        <w:rPr>
          <w:rFonts w:ascii="DIN-Bold" w:hAnsi="DIN-Bold"/>
        </w:rPr>
        <w:t>complémentaires:</w:t>
      </w:r>
      <w:proofErr w:type="gramEnd"/>
    </w:p>
    <w:p w14:paraId="5CC5E438" w14:textId="5EDA1620" w:rsidR="008460A2" w:rsidRPr="00865467" w:rsidRDefault="00865467" w:rsidP="00865467">
      <w:pPr>
        <w:keepNext/>
        <w:keepLines/>
        <w:spacing w:after="120"/>
        <w:ind w:right="-340"/>
        <w:rPr>
          <w:rFonts w:ascii="DIN-Regular" w:hAnsi="DIN-Regular" w:cs="Arial"/>
          <w:sz w:val="20"/>
        </w:rPr>
      </w:pPr>
      <w:r>
        <w:rPr>
          <w:rFonts w:ascii="DIN-Regular" w:hAnsi="DIN-Regular"/>
          <w:sz w:val="20"/>
        </w:rPr>
        <w:t>Panasonic Suisse</w:t>
      </w:r>
      <w:r>
        <w:rPr>
          <w:rFonts w:ascii="DIN-Regular" w:hAnsi="DIN-Regular"/>
          <w:sz w:val="20"/>
        </w:rPr>
        <w:br/>
        <w:t>Une succursale de la société Panasonic Marketing Europe GmbH</w:t>
      </w:r>
      <w:r>
        <w:rPr>
          <w:rFonts w:ascii="DIN-Regular" w:hAnsi="DIN-Regular"/>
          <w:sz w:val="20"/>
        </w:rPr>
        <w:br/>
      </w:r>
      <w:proofErr w:type="spellStart"/>
      <w:r>
        <w:rPr>
          <w:rFonts w:ascii="DIN-Regular" w:hAnsi="DIN-Regular"/>
          <w:sz w:val="20"/>
        </w:rPr>
        <w:t>Grundstrasse</w:t>
      </w:r>
      <w:proofErr w:type="spellEnd"/>
      <w:r>
        <w:rPr>
          <w:rFonts w:ascii="DIN-Regular" w:hAnsi="DIN-Regular"/>
          <w:sz w:val="20"/>
        </w:rPr>
        <w:t xml:space="preserve"> 12</w:t>
      </w:r>
      <w:r>
        <w:rPr>
          <w:rFonts w:ascii="DIN-Regular" w:hAnsi="DIN-Regular"/>
          <w:sz w:val="20"/>
        </w:rPr>
        <w:br/>
        <w:t xml:space="preserve">6343 </w:t>
      </w:r>
      <w:proofErr w:type="spellStart"/>
      <w:r>
        <w:rPr>
          <w:rFonts w:ascii="DIN-Regular" w:hAnsi="DIN-Regular"/>
          <w:sz w:val="20"/>
        </w:rPr>
        <w:t>Rotkreuz</w:t>
      </w:r>
      <w:proofErr w:type="spellEnd"/>
      <w:r>
        <w:rPr>
          <w:rFonts w:ascii="DIN-Regular" w:hAnsi="DIN-Regular"/>
          <w:sz w:val="20"/>
        </w:rPr>
        <w:br/>
      </w:r>
      <w:r>
        <w:rPr>
          <w:rFonts w:ascii="DIN-Regular" w:hAnsi="DIN-Regular"/>
          <w:sz w:val="20"/>
        </w:rPr>
        <w:br/>
      </w:r>
      <w:r>
        <w:rPr>
          <w:rFonts w:ascii="DIN-Bold" w:hAnsi="DIN-Bold"/>
          <w:sz w:val="20"/>
        </w:rPr>
        <w:t xml:space="preserve">Contact </w:t>
      </w:r>
      <w:proofErr w:type="gramStart"/>
      <w:r>
        <w:rPr>
          <w:rFonts w:ascii="DIN-Bold" w:hAnsi="DIN-Bold"/>
          <w:sz w:val="20"/>
        </w:rPr>
        <w:t>presse:</w:t>
      </w:r>
      <w:proofErr w:type="gramEnd"/>
      <w:r>
        <w:rPr>
          <w:rFonts w:ascii="DIN-Regular" w:hAnsi="DIN-Regular"/>
          <w:sz w:val="20"/>
        </w:rPr>
        <w:br/>
        <w:t>Stephanie Stadelmann</w:t>
      </w:r>
      <w:r>
        <w:rPr>
          <w:rFonts w:ascii="DIN-Regular" w:hAnsi="DIN-Regular"/>
          <w:sz w:val="20"/>
        </w:rPr>
        <w:br/>
        <w:t>Tél.: 041 203 20 20</w:t>
      </w:r>
      <w:r>
        <w:rPr>
          <w:rFonts w:ascii="DIN-Regular" w:hAnsi="DIN-Regular"/>
          <w:sz w:val="20"/>
        </w:rPr>
        <w:br/>
        <w:t xml:space="preserve">E-mail: </w:t>
      </w:r>
      <w:hyperlink r:id="rId15" w:history="1">
        <w:r>
          <w:rPr>
            <w:rStyle w:val="Hyperlink"/>
            <w:rFonts w:ascii="DIN-Regular" w:hAnsi="DIN-Regular"/>
            <w:sz w:val="20"/>
          </w:rPr>
          <w:t>panasonic.ch@eu.panasonic.com</w:t>
        </w:r>
      </w:hyperlink>
      <w:r>
        <w:rPr>
          <w:rFonts w:ascii="DIN-Regular" w:hAnsi="DIN-Regular"/>
          <w:sz w:val="20"/>
        </w:rPr>
        <w:t xml:space="preserve"> </w:t>
      </w:r>
    </w:p>
    <w:sectPr w:rsidR="008460A2" w:rsidRPr="00865467"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21825" w14:textId="77777777" w:rsidR="00E915CF" w:rsidRDefault="00E915CF">
      <w:r>
        <w:separator/>
      </w:r>
    </w:p>
  </w:endnote>
  <w:endnote w:type="continuationSeparator" w:id="0">
    <w:p w14:paraId="3E2F4E45" w14:textId="77777777" w:rsidR="00E915CF" w:rsidRDefault="00E9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Bold">
    <w:altName w:val="Calibri"/>
    <w:panose1 w:val="020008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Helv">
    <w:panose1 w:val="020B060402020203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DIN-Medium">
    <w:altName w:val="Calibri"/>
    <w:panose1 w:val="02000603040000020004"/>
    <w:charset w:val="00"/>
    <w:family w:val="auto"/>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IN Pro">
    <w:altName w:val="Source Sans Pro"/>
    <w:panose1 w:val="02000503040000020003"/>
    <w:charset w:val="00"/>
    <w:family w:val="modern"/>
    <w:notTrueType/>
    <w:pitch w:val="variable"/>
    <w:sig w:usb0="A00002FF" w:usb1="4000A4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5EBC" w14:textId="77777777" w:rsidR="00865467" w:rsidRDefault="00865467" w:rsidP="00865467">
    <w:pPr>
      <w:tabs>
        <w:tab w:val="center" w:pos="4962"/>
      </w:tabs>
      <w:ind w:right="-3175" w:firstLine="2160"/>
      <w:rPr>
        <w:rFonts w:ascii="DIN-Regular" w:hAnsi="DIN-Regular"/>
        <w:sz w:val="17"/>
        <w:lang w:val="de-DE"/>
      </w:rPr>
    </w:pPr>
  </w:p>
  <w:p w14:paraId="46FC9417" w14:textId="77777777" w:rsidR="00865467" w:rsidRDefault="00865467" w:rsidP="00865467">
    <w:pPr>
      <w:tabs>
        <w:tab w:val="center" w:pos="4962"/>
      </w:tabs>
      <w:ind w:right="-3175" w:firstLine="2160"/>
      <w:rPr>
        <w:rFonts w:ascii="DIN-Regular" w:hAnsi="DIN-Regular"/>
        <w:sz w:val="17"/>
        <w:lang w:val="de-DE"/>
      </w:rPr>
    </w:pPr>
  </w:p>
  <w:p w14:paraId="52FE4041" w14:textId="15891523" w:rsidR="00865467" w:rsidRDefault="00865467" w:rsidP="00865467">
    <w:pPr>
      <w:tabs>
        <w:tab w:val="center" w:pos="4962"/>
      </w:tabs>
      <w:ind w:right="-3175" w:firstLine="2160"/>
      <w:rPr>
        <w:rFonts w:ascii="DIN-Regular" w:hAnsi="DIN-Regular"/>
        <w:sz w:val="17"/>
      </w:rPr>
    </w:pPr>
    <w:r>
      <w:rPr>
        <w:rFonts w:ascii="DIN-Regular" w:hAnsi="DIN-Regular"/>
        <w:color w:val="000000"/>
        <w:sz w:val="17"/>
      </w:rPr>
      <w:t>Panasonic Suisse – une succursale de Panasonic Marketing Europe GmbH</w:t>
    </w:r>
  </w:p>
  <w:p w14:paraId="7EF3DD98" w14:textId="77777777" w:rsidR="00865467" w:rsidRDefault="00865467" w:rsidP="00865467">
    <w:pPr>
      <w:ind w:left="2880" w:right="-3033" w:firstLine="720"/>
      <w:rPr>
        <w:rFonts w:ascii="DIN-Regular" w:hAnsi="DIN-Regular" w:cs="DIN-Regular"/>
        <w:color w:val="000000"/>
        <w:sz w:val="17"/>
        <w:szCs w:val="17"/>
      </w:rPr>
    </w:pPr>
    <w:proofErr w:type="spellStart"/>
    <w:r>
      <w:rPr>
        <w:rFonts w:ascii="DIN-Regular" w:hAnsi="DIN-Regular"/>
        <w:color w:val="000000"/>
        <w:sz w:val="17"/>
      </w:rPr>
      <w:t>Grundstrasse</w:t>
    </w:r>
    <w:proofErr w:type="spellEnd"/>
    <w:r>
      <w:rPr>
        <w:rFonts w:ascii="DIN-Regular" w:hAnsi="DIN-Regular"/>
        <w:color w:val="000000"/>
        <w:sz w:val="17"/>
      </w:rPr>
      <w:t xml:space="preserve"> 12, CH-6343 </w:t>
    </w:r>
    <w:proofErr w:type="spellStart"/>
    <w:r>
      <w:rPr>
        <w:rFonts w:ascii="DIN-Regular" w:hAnsi="DIN-Regular"/>
        <w:color w:val="000000"/>
        <w:sz w:val="17"/>
      </w:rPr>
      <w:t>Rotkreuz</w:t>
    </w:r>
    <w:proofErr w:type="spellEnd"/>
    <w:r>
      <w:rPr>
        <w:rFonts w:ascii="DIN-Regular" w:hAnsi="DIN-Regular"/>
        <w:color w:val="000000"/>
        <w:sz w:val="17"/>
      </w:rPr>
      <w:t xml:space="preserve"> (ZG)</w:t>
    </w:r>
  </w:p>
  <w:p w14:paraId="6C890435" w14:textId="6522DF2E" w:rsidR="00865467" w:rsidRDefault="00865467" w:rsidP="00865467">
    <w:pPr>
      <w:ind w:right="-3033"/>
      <w:rPr>
        <w:rFonts w:ascii="DIN-Regular" w:hAnsi="DIN-Regular"/>
        <w:sz w:val="17"/>
      </w:rPr>
    </w:pPr>
    <w:r>
      <w:rPr>
        <w:rFonts w:ascii="DIN-Regular" w:hAnsi="DIN-Regular"/>
        <w:noProof/>
        <w:sz w:val="20"/>
        <w:lang w:val="de-CH" w:eastAsia="de-CH"/>
      </w:rPr>
      <w:drawing>
        <wp:anchor distT="0" distB="0" distL="114300" distR="114300" simplePos="0" relativeHeight="251660288" behindDoc="1" locked="0" layoutInCell="1" allowOverlap="1" wp14:anchorId="091EBC88" wp14:editId="7B33739C">
          <wp:simplePos x="0" y="0"/>
          <wp:positionH relativeFrom="column">
            <wp:posOffset>-575945</wp:posOffset>
          </wp:positionH>
          <wp:positionV relativeFrom="page">
            <wp:posOffset>9321800</wp:posOffset>
          </wp:positionV>
          <wp:extent cx="8115300" cy="1371600"/>
          <wp:effectExtent l="0" t="0" r="12700" b="0"/>
          <wp:wrapNone/>
          <wp:docPr id="2"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sidR="001D67C8">
      <w:rPr>
        <w:rFonts w:ascii="DIN-Regular" w:hAnsi="DIN-Regular"/>
        <w:sz w:val="17"/>
      </w:rPr>
      <w:t xml:space="preserve"> </w:t>
    </w:r>
    <w:r>
      <w:rPr>
        <w:rFonts w:ascii="DIN-Regular" w:hAnsi="DIN-Regular"/>
        <w:sz w:val="17"/>
      </w:rPr>
      <w:t xml:space="preserve"> </w:t>
    </w:r>
  </w:p>
  <w:p w14:paraId="5F7345FC" w14:textId="77777777" w:rsidR="00865467" w:rsidRDefault="00865467" w:rsidP="00865467">
    <w:pPr>
      <w:spacing w:line="200" w:lineRule="exact"/>
      <w:ind w:left="2880" w:right="85" w:hanging="753"/>
      <w:jc w:val="center"/>
      <w:rPr>
        <w:sz w:val="17"/>
        <w:lang w:val="de-DE"/>
      </w:rPr>
    </w:pPr>
  </w:p>
  <w:p w14:paraId="563C6FD8" w14:textId="1ADB8A7D" w:rsidR="00AB39F9" w:rsidRPr="00215481" w:rsidRDefault="00865467" w:rsidP="00865467">
    <w:pPr>
      <w:spacing w:line="200" w:lineRule="exact"/>
      <w:ind w:left="4320" w:right="85"/>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1D67C8">
      <w:rPr>
        <w:rFonts w:ascii="DIN-Regular" w:hAnsi="DIN-Regular"/>
        <w:noProof/>
        <w:sz w:val="17"/>
      </w:rPr>
      <w:t>2</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1D67C8">
      <w:rPr>
        <w:rFonts w:ascii="DIN-Regular" w:hAnsi="DIN-Regular"/>
        <w:noProof/>
        <w:sz w:val="17"/>
      </w:rPr>
      <w:t>4</w:t>
    </w:r>
    <w:r>
      <w:rPr>
        <w:sz w:val="17"/>
      </w:rPr>
      <w:fldChar w:fldCharType="end"/>
    </w:r>
    <w:r>
      <w:rPr>
        <w:rFonts w:ascii="DIN-Regular" w:hAnsi="DIN-Regular"/>
        <w:noProof/>
        <w:sz w:val="20"/>
        <w:lang w:val="de-CH" w:eastAsia="de-CH"/>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5A94" w14:textId="77777777" w:rsidR="00E915CF" w:rsidRDefault="00E915CF">
      <w:r>
        <w:separator/>
      </w:r>
    </w:p>
  </w:footnote>
  <w:footnote w:type="continuationSeparator" w:id="0">
    <w:p w14:paraId="1BAFBF7D" w14:textId="77777777" w:rsidR="00E915CF" w:rsidRDefault="00E91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CH" w:eastAsia="de-CH"/>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9C8"/>
    <w:multiLevelType w:val="hybridMultilevel"/>
    <w:tmpl w:val="CCE60FA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2804B28"/>
    <w:multiLevelType w:val="hybridMultilevel"/>
    <w:tmpl w:val="224C0C94"/>
    <w:lvl w:ilvl="0" w:tplc="14C6560A">
      <w:start w:val="2"/>
      <w:numFmt w:val="bullet"/>
      <w:lvlText w:val="-"/>
      <w:lvlJc w:val="left"/>
      <w:pPr>
        <w:ind w:left="720" w:hanging="360"/>
      </w:pPr>
      <w:rPr>
        <w:rFonts w:ascii="DIN-Bold" w:eastAsia="Times New Roman" w:hAnsi="DIN-Bol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2D1B9D"/>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B46789"/>
    <w:multiLevelType w:val="hybridMultilevel"/>
    <w:tmpl w:val="CC54630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E6474CA">
      <w:numFmt w:val="bullet"/>
      <w:lvlText w:val=""/>
      <w:lvlJc w:val="left"/>
      <w:pPr>
        <w:ind w:left="3600" w:hanging="360"/>
      </w:pPr>
      <w:rPr>
        <w:rFonts w:ascii="Symbol" w:eastAsia="Times New Roman" w:hAnsi="Symbol" w:cs="Helv"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D92B47"/>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5DB"/>
    <w:rsid w:val="000017BA"/>
    <w:rsid w:val="00001957"/>
    <w:rsid w:val="00002F8C"/>
    <w:rsid w:val="0000383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A0"/>
    <w:rsid w:val="00012CCE"/>
    <w:rsid w:val="000131A1"/>
    <w:rsid w:val="00013C81"/>
    <w:rsid w:val="00013CBA"/>
    <w:rsid w:val="0001422C"/>
    <w:rsid w:val="00014447"/>
    <w:rsid w:val="00014921"/>
    <w:rsid w:val="00015FA3"/>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DC8"/>
    <w:rsid w:val="00055F0C"/>
    <w:rsid w:val="000565D7"/>
    <w:rsid w:val="00056DE3"/>
    <w:rsid w:val="00057044"/>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D28"/>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78B"/>
    <w:rsid w:val="000A0A7E"/>
    <w:rsid w:val="000A0AFC"/>
    <w:rsid w:val="000A0B0E"/>
    <w:rsid w:val="000A0DC4"/>
    <w:rsid w:val="000A0E83"/>
    <w:rsid w:val="000A1BBD"/>
    <w:rsid w:val="000A2A76"/>
    <w:rsid w:val="000A414E"/>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3018"/>
    <w:rsid w:val="000B4065"/>
    <w:rsid w:val="000B4582"/>
    <w:rsid w:val="000B4CFA"/>
    <w:rsid w:val="000B55C2"/>
    <w:rsid w:val="000B5EB9"/>
    <w:rsid w:val="000B646D"/>
    <w:rsid w:val="000B6936"/>
    <w:rsid w:val="000B70F4"/>
    <w:rsid w:val="000B71A1"/>
    <w:rsid w:val="000C246C"/>
    <w:rsid w:val="000C299A"/>
    <w:rsid w:val="000C3A3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E78E4"/>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E35"/>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67934"/>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604"/>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1C8A"/>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B9B"/>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7C8"/>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7A4"/>
    <w:rsid w:val="001E7E41"/>
    <w:rsid w:val="001F01F4"/>
    <w:rsid w:val="001F0C48"/>
    <w:rsid w:val="001F0CB9"/>
    <w:rsid w:val="001F0D73"/>
    <w:rsid w:val="001F1C9A"/>
    <w:rsid w:val="001F1FED"/>
    <w:rsid w:val="001F23C8"/>
    <w:rsid w:val="001F4776"/>
    <w:rsid w:val="001F4873"/>
    <w:rsid w:val="001F4933"/>
    <w:rsid w:val="001F50EE"/>
    <w:rsid w:val="001F5F62"/>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44A"/>
    <w:rsid w:val="002037D8"/>
    <w:rsid w:val="00203A37"/>
    <w:rsid w:val="00203F54"/>
    <w:rsid w:val="002045BD"/>
    <w:rsid w:val="00204719"/>
    <w:rsid w:val="00204FF0"/>
    <w:rsid w:val="00205227"/>
    <w:rsid w:val="0020525E"/>
    <w:rsid w:val="00205DCF"/>
    <w:rsid w:val="0020697A"/>
    <w:rsid w:val="00207571"/>
    <w:rsid w:val="00207DCF"/>
    <w:rsid w:val="00210C94"/>
    <w:rsid w:val="00210D7A"/>
    <w:rsid w:val="0021138D"/>
    <w:rsid w:val="002114D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34B5"/>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9A"/>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4FEC"/>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1D"/>
    <w:rsid w:val="0033222D"/>
    <w:rsid w:val="003324B2"/>
    <w:rsid w:val="00332769"/>
    <w:rsid w:val="00332AA7"/>
    <w:rsid w:val="00333124"/>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165"/>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2C56"/>
    <w:rsid w:val="003A3192"/>
    <w:rsid w:val="003A408B"/>
    <w:rsid w:val="003A4B39"/>
    <w:rsid w:val="003A4E56"/>
    <w:rsid w:val="003A5063"/>
    <w:rsid w:val="003A53D9"/>
    <w:rsid w:val="003A5710"/>
    <w:rsid w:val="003A62FA"/>
    <w:rsid w:val="003A6328"/>
    <w:rsid w:val="003A6D7B"/>
    <w:rsid w:val="003A6ED0"/>
    <w:rsid w:val="003A7783"/>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1E4"/>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9D9"/>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9ED"/>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DD6"/>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80D"/>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7CF"/>
    <w:rsid w:val="00490FD5"/>
    <w:rsid w:val="004916FA"/>
    <w:rsid w:val="0049182A"/>
    <w:rsid w:val="004929E5"/>
    <w:rsid w:val="00492B08"/>
    <w:rsid w:val="004930C8"/>
    <w:rsid w:val="004936DD"/>
    <w:rsid w:val="00493C44"/>
    <w:rsid w:val="0049424A"/>
    <w:rsid w:val="004948BF"/>
    <w:rsid w:val="00495B85"/>
    <w:rsid w:val="00495C08"/>
    <w:rsid w:val="00496B4A"/>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B15"/>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88E"/>
    <w:rsid w:val="004D4D38"/>
    <w:rsid w:val="004D52C6"/>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B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31B4"/>
    <w:rsid w:val="00544613"/>
    <w:rsid w:val="00544B01"/>
    <w:rsid w:val="00545AB5"/>
    <w:rsid w:val="005479D7"/>
    <w:rsid w:val="0055060B"/>
    <w:rsid w:val="00550717"/>
    <w:rsid w:val="005507D3"/>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0C34"/>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0561"/>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73F"/>
    <w:rsid w:val="00586C07"/>
    <w:rsid w:val="00586D6F"/>
    <w:rsid w:val="00587137"/>
    <w:rsid w:val="00590131"/>
    <w:rsid w:val="00590BF8"/>
    <w:rsid w:val="00591768"/>
    <w:rsid w:val="00593792"/>
    <w:rsid w:val="0059391F"/>
    <w:rsid w:val="00593FE6"/>
    <w:rsid w:val="0059425A"/>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D91"/>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63E0"/>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5A8"/>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B9"/>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AFD"/>
    <w:rsid w:val="00657015"/>
    <w:rsid w:val="00657AC8"/>
    <w:rsid w:val="006601C3"/>
    <w:rsid w:val="00660791"/>
    <w:rsid w:val="006617C9"/>
    <w:rsid w:val="00661FFD"/>
    <w:rsid w:val="00663024"/>
    <w:rsid w:val="006638DD"/>
    <w:rsid w:val="00664409"/>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022"/>
    <w:rsid w:val="0067429E"/>
    <w:rsid w:val="00674A69"/>
    <w:rsid w:val="00674B32"/>
    <w:rsid w:val="00674BC5"/>
    <w:rsid w:val="00675688"/>
    <w:rsid w:val="00675744"/>
    <w:rsid w:val="00675C71"/>
    <w:rsid w:val="00675CB8"/>
    <w:rsid w:val="006774D7"/>
    <w:rsid w:val="00677D5E"/>
    <w:rsid w:val="00680623"/>
    <w:rsid w:val="00680A9E"/>
    <w:rsid w:val="006812FB"/>
    <w:rsid w:val="0068150F"/>
    <w:rsid w:val="00681A30"/>
    <w:rsid w:val="006821A9"/>
    <w:rsid w:val="0068232F"/>
    <w:rsid w:val="00682B87"/>
    <w:rsid w:val="00682BC3"/>
    <w:rsid w:val="00682CF7"/>
    <w:rsid w:val="00684010"/>
    <w:rsid w:val="00684CBD"/>
    <w:rsid w:val="006852D8"/>
    <w:rsid w:val="0068565D"/>
    <w:rsid w:val="006856B4"/>
    <w:rsid w:val="00686829"/>
    <w:rsid w:val="00686C0E"/>
    <w:rsid w:val="00686EE4"/>
    <w:rsid w:val="00687FF9"/>
    <w:rsid w:val="006904A1"/>
    <w:rsid w:val="00691134"/>
    <w:rsid w:val="00691622"/>
    <w:rsid w:val="00691700"/>
    <w:rsid w:val="006921F3"/>
    <w:rsid w:val="00693293"/>
    <w:rsid w:val="00693CD0"/>
    <w:rsid w:val="00695296"/>
    <w:rsid w:val="00695E75"/>
    <w:rsid w:val="00696345"/>
    <w:rsid w:val="0069641C"/>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44E"/>
    <w:rsid w:val="006B599A"/>
    <w:rsid w:val="006B685F"/>
    <w:rsid w:val="006B7119"/>
    <w:rsid w:val="006B7AB5"/>
    <w:rsid w:val="006C04ED"/>
    <w:rsid w:val="006C16FF"/>
    <w:rsid w:val="006C1750"/>
    <w:rsid w:val="006C2256"/>
    <w:rsid w:val="006C2F93"/>
    <w:rsid w:val="006C33C3"/>
    <w:rsid w:val="006C3E8F"/>
    <w:rsid w:val="006C51E3"/>
    <w:rsid w:val="006C5CE6"/>
    <w:rsid w:val="006C5EAA"/>
    <w:rsid w:val="006C62FE"/>
    <w:rsid w:val="006C6343"/>
    <w:rsid w:val="006C67B1"/>
    <w:rsid w:val="006C6D1B"/>
    <w:rsid w:val="006C78A6"/>
    <w:rsid w:val="006D04BD"/>
    <w:rsid w:val="006D0876"/>
    <w:rsid w:val="006D0ACE"/>
    <w:rsid w:val="006D104D"/>
    <w:rsid w:val="006D1124"/>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75E"/>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61"/>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6242"/>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571"/>
    <w:rsid w:val="00743670"/>
    <w:rsid w:val="00743791"/>
    <w:rsid w:val="00743C9A"/>
    <w:rsid w:val="00743F75"/>
    <w:rsid w:val="00744003"/>
    <w:rsid w:val="0074414C"/>
    <w:rsid w:val="007443BF"/>
    <w:rsid w:val="0074470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A3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E2"/>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6B1"/>
    <w:rsid w:val="007909A0"/>
    <w:rsid w:val="007909F9"/>
    <w:rsid w:val="00790A3B"/>
    <w:rsid w:val="00791BC6"/>
    <w:rsid w:val="00792263"/>
    <w:rsid w:val="00792FC9"/>
    <w:rsid w:val="007932E4"/>
    <w:rsid w:val="00794E02"/>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1F2"/>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20B"/>
    <w:rsid w:val="007F5C77"/>
    <w:rsid w:val="007F77C3"/>
    <w:rsid w:val="007F786D"/>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4F9"/>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0EB"/>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185"/>
    <w:rsid w:val="00846F78"/>
    <w:rsid w:val="00850C51"/>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A27"/>
    <w:rsid w:val="00864C07"/>
    <w:rsid w:val="00864D1D"/>
    <w:rsid w:val="00865343"/>
    <w:rsid w:val="00865385"/>
    <w:rsid w:val="00865467"/>
    <w:rsid w:val="00865648"/>
    <w:rsid w:val="00865C00"/>
    <w:rsid w:val="0086612E"/>
    <w:rsid w:val="00866157"/>
    <w:rsid w:val="00866790"/>
    <w:rsid w:val="008675B2"/>
    <w:rsid w:val="00867994"/>
    <w:rsid w:val="00867BF2"/>
    <w:rsid w:val="00867BF3"/>
    <w:rsid w:val="008710B5"/>
    <w:rsid w:val="0087165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8D9"/>
    <w:rsid w:val="00882B03"/>
    <w:rsid w:val="00882D09"/>
    <w:rsid w:val="008831F3"/>
    <w:rsid w:val="008836FE"/>
    <w:rsid w:val="0088378F"/>
    <w:rsid w:val="00883C3C"/>
    <w:rsid w:val="00884788"/>
    <w:rsid w:val="00884EA7"/>
    <w:rsid w:val="00885485"/>
    <w:rsid w:val="00885B89"/>
    <w:rsid w:val="0088687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E07"/>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62C"/>
    <w:rsid w:val="008F69D4"/>
    <w:rsid w:val="008F702B"/>
    <w:rsid w:val="00901043"/>
    <w:rsid w:val="00901D64"/>
    <w:rsid w:val="00902106"/>
    <w:rsid w:val="00902898"/>
    <w:rsid w:val="00902FC7"/>
    <w:rsid w:val="009034FF"/>
    <w:rsid w:val="009036AC"/>
    <w:rsid w:val="00903E2D"/>
    <w:rsid w:val="00904910"/>
    <w:rsid w:val="0090498E"/>
    <w:rsid w:val="00904DDD"/>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3E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734"/>
    <w:rsid w:val="0097190D"/>
    <w:rsid w:val="00971F95"/>
    <w:rsid w:val="009721CE"/>
    <w:rsid w:val="00972298"/>
    <w:rsid w:val="00972B5C"/>
    <w:rsid w:val="0097301A"/>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3A2B"/>
    <w:rsid w:val="00984DF1"/>
    <w:rsid w:val="00985300"/>
    <w:rsid w:val="00985943"/>
    <w:rsid w:val="00986317"/>
    <w:rsid w:val="00986907"/>
    <w:rsid w:val="00986FCC"/>
    <w:rsid w:val="00987301"/>
    <w:rsid w:val="0098778F"/>
    <w:rsid w:val="00987ED2"/>
    <w:rsid w:val="00990338"/>
    <w:rsid w:val="00990718"/>
    <w:rsid w:val="00990808"/>
    <w:rsid w:val="00990CA5"/>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3B9"/>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023"/>
    <w:rsid w:val="009C5449"/>
    <w:rsid w:val="009C5E60"/>
    <w:rsid w:val="009C6069"/>
    <w:rsid w:val="009C6099"/>
    <w:rsid w:val="009C6977"/>
    <w:rsid w:val="009C6983"/>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908"/>
    <w:rsid w:val="009F2BDD"/>
    <w:rsid w:val="009F2BFB"/>
    <w:rsid w:val="009F3336"/>
    <w:rsid w:val="009F3A21"/>
    <w:rsid w:val="009F3B35"/>
    <w:rsid w:val="009F4DD5"/>
    <w:rsid w:val="009F4F20"/>
    <w:rsid w:val="009F53AA"/>
    <w:rsid w:val="009F6A38"/>
    <w:rsid w:val="009F6C1D"/>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690"/>
    <w:rsid w:val="00A10B88"/>
    <w:rsid w:val="00A10D9B"/>
    <w:rsid w:val="00A10F68"/>
    <w:rsid w:val="00A1208B"/>
    <w:rsid w:val="00A121D1"/>
    <w:rsid w:val="00A1486C"/>
    <w:rsid w:val="00A15078"/>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B1A"/>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CF"/>
    <w:rsid w:val="00A42CE7"/>
    <w:rsid w:val="00A4364E"/>
    <w:rsid w:val="00A44640"/>
    <w:rsid w:val="00A448BA"/>
    <w:rsid w:val="00A44BEC"/>
    <w:rsid w:val="00A45E53"/>
    <w:rsid w:val="00A45F87"/>
    <w:rsid w:val="00A463C2"/>
    <w:rsid w:val="00A46C3D"/>
    <w:rsid w:val="00A4743F"/>
    <w:rsid w:val="00A53B3B"/>
    <w:rsid w:val="00A541CE"/>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0520"/>
    <w:rsid w:val="00A71008"/>
    <w:rsid w:val="00A71708"/>
    <w:rsid w:val="00A71D56"/>
    <w:rsid w:val="00A7225A"/>
    <w:rsid w:val="00A72C77"/>
    <w:rsid w:val="00A72D2D"/>
    <w:rsid w:val="00A737DD"/>
    <w:rsid w:val="00A73C90"/>
    <w:rsid w:val="00A740F6"/>
    <w:rsid w:val="00A74357"/>
    <w:rsid w:val="00A74650"/>
    <w:rsid w:val="00A7506C"/>
    <w:rsid w:val="00A75CA8"/>
    <w:rsid w:val="00A77095"/>
    <w:rsid w:val="00A80B90"/>
    <w:rsid w:val="00A81470"/>
    <w:rsid w:val="00A8151D"/>
    <w:rsid w:val="00A815E8"/>
    <w:rsid w:val="00A81986"/>
    <w:rsid w:val="00A81E0E"/>
    <w:rsid w:val="00A820C9"/>
    <w:rsid w:val="00A8241A"/>
    <w:rsid w:val="00A830A9"/>
    <w:rsid w:val="00A83208"/>
    <w:rsid w:val="00A834D3"/>
    <w:rsid w:val="00A83A0D"/>
    <w:rsid w:val="00A83E25"/>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0CA"/>
    <w:rsid w:val="00AB44B3"/>
    <w:rsid w:val="00AB4803"/>
    <w:rsid w:val="00AB5722"/>
    <w:rsid w:val="00AB5DB9"/>
    <w:rsid w:val="00AB6248"/>
    <w:rsid w:val="00AB62B6"/>
    <w:rsid w:val="00AB6D18"/>
    <w:rsid w:val="00AB7B8E"/>
    <w:rsid w:val="00AB7C48"/>
    <w:rsid w:val="00AB7CFE"/>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97"/>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1F7"/>
    <w:rsid w:val="00AE3262"/>
    <w:rsid w:val="00AE327E"/>
    <w:rsid w:val="00AE331C"/>
    <w:rsid w:val="00AE3ACC"/>
    <w:rsid w:val="00AE4181"/>
    <w:rsid w:val="00AE5219"/>
    <w:rsid w:val="00AE629C"/>
    <w:rsid w:val="00AE74A3"/>
    <w:rsid w:val="00AE7CAE"/>
    <w:rsid w:val="00AF1011"/>
    <w:rsid w:val="00AF3736"/>
    <w:rsid w:val="00AF3B65"/>
    <w:rsid w:val="00AF5226"/>
    <w:rsid w:val="00AF5411"/>
    <w:rsid w:val="00AF6C7B"/>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EA5"/>
    <w:rsid w:val="00B2463C"/>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D4B"/>
    <w:rsid w:val="00B46EF4"/>
    <w:rsid w:val="00B472ED"/>
    <w:rsid w:val="00B47450"/>
    <w:rsid w:val="00B479F1"/>
    <w:rsid w:val="00B47C1F"/>
    <w:rsid w:val="00B508FE"/>
    <w:rsid w:val="00B51F92"/>
    <w:rsid w:val="00B53639"/>
    <w:rsid w:val="00B53849"/>
    <w:rsid w:val="00B53BD6"/>
    <w:rsid w:val="00B53E21"/>
    <w:rsid w:val="00B53FCB"/>
    <w:rsid w:val="00B553F5"/>
    <w:rsid w:val="00B56087"/>
    <w:rsid w:val="00B5642E"/>
    <w:rsid w:val="00B566B2"/>
    <w:rsid w:val="00B568FE"/>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7C3"/>
    <w:rsid w:val="00B86B42"/>
    <w:rsid w:val="00B86D16"/>
    <w:rsid w:val="00B86F52"/>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3FFE"/>
    <w:rsid w:val="00BB4775"/>
    <w:rsid w:val="00BB5127"/>
    <w:rsid w:val="00BB62B4"/>
    <w:rsid w:val="00BB63FF"/>
    <w:rsid w:val="00BB7A00"/>
    <w:rsid w:val="00BC0786"/>
    <w:rsid w:val="00BC1350"/>
    <w:rsid w:val="00BC1789"/>
    <w:rsid w:val="00BC1C24"/>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4EC2"/>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58A8"/>
    <w:rsid w:val="00BF6973"/>
    <w:rsid w:val="00BF7078"/>
    <w:rsid w:val="00BF7950"/>
    <w:rsid w:val="00BF7B88"/>
    <w:rsid w:val="00C0075C"/>
    <w:rsid w:val="00C018FC"/>
    <w:rsid w:val="00C019FC"/>
    <w:rsid w:val="00C01C90"/>
    <w:rsid w:val="00C02C33"/>
    <w:rsid w:val="00C04983"/>
    <w:rsid w:val="00C04BDC"/>
    <w:rsid w:val="00C051B2"/>
    <w:rsid w:val="00C06212"/>
    <w:rsid w:val="00C0633C"/>
    <w:rsid w:val="00C06CDD"/>
    <w:rsid w:val="00C07393"/>
    <w:rsid w:val="00C07805"/>
    <w:rsid w:val="00C111E9"/>
    <w:rsid w:val="00C1140C"/>
    <w:rsid w:val="00C11496"/>
    <w:rsid w:val="00C11708"/>
    <w:rsid w:val="00C11B02"/>
    <w:rsid w:val="00C1233B"/>
    <w:rsid w:val="00C123E7"/>
    <w:rsid w:val="00C12442"/>
    <w:rsid w:val="00C126C8"/>
    <w:rsid w:val="00C128FA"/>
    <w:rsid w:val="00C133C7"/>
    <w:rsid w:val="00C13760"/>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403"/>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22B"/>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4DB1"/>
    <w:rsid w:val="00CA536C"/>
    <w:rsid w:val="00CB0045"/>
    <w:rsid w:val="00CB0233"/>
    <w:rsid w:val="00CB0252"/>
    <w:rsid w:val="00CB19FB"/>
    <w:rsid w:val="00CB1C30"/>
    <w:rsid w:val="00CB1EBE"/>
    <w:rsid w:val="00CB1FC6"/>
    <w:rsid w:val="00CB218D"/>
    <w:rsid w:val="00CB22A1"/>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3781"/>
    <w:rsid w:val="00CD4485"/>
    <w:rsid w:val="00CD4DDF"/>
    <w:rsid w:val="00CD5A30"/>
    <w:rsid w:val="00CD5A48"/>
    <w:rsid w:val="00CD677A"/>
    <w:rsid w:val="00CD6B59"/>
    <w:rsid w:val="00CD716D"/>
    <w:rsid w:val="00CD74C5"/>
    <w:rsid w:val="00CD77D6"/>
    <w:rsid w:val="00CD7C61"/>
    <w:rsid w:val="00CD7F03"/>
    <w:rsid w:val="00CE0E5A"/>
    <w:rsid w:val="00CE10FD"/>
    <w:rsid w:val="00CE13B2"/>
    <w:rsid w:val="00CE1408"/>
    <w:rsid w:val="00CE159F"/>
    <w:rsid w:val="00CE2969"/>
    <w:rsid w:val="00CE4195"/>
    <w:rsid w:val="00CE4338"/>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B97"/>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837"/>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4E0D"/>
    <w:rsid w:val="00D450EB"/>
    <w:rsid w:val="00D456EE"/>
    <w:rsid w:val="00D45998"/>
    <w:rsid w:val="00D45A97"/>
    <w:rsid w:val="00D45E16"/>
    <w:rsid w:val="00D46368"/>
    <w:rsid w:val="00D468C8"/>
    <w:rsid w:val="00D46C94"/>
    <w:rsid w:val="00D470C9"/>
    <w:rsid w:val="00D47128"/>
    <w:rsid w:val="00D4749C"/>
    <w:rsid w:val="00D4784A"/>
    <w:rsid w:val="00D501DB"/>
    <w:rsid w:val="00D50226"/>
    <w:rsid w:val="00D508FB"/>
    <w:rsid w:val="00D512B8"/>
    <w:rsid w:val="00D513F1"/>
    <w:rsid w:val="00D52B39"/>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5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C0"/>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494"/>
    <w:rsid w:val="00DD0D8A"/>
    <w:rsid w:val="00DD1259"/>
    <w:rsid w:val="00DD13AE"/>
    <w:rsid w:val="00DD1D38"/>
    <w:rsid w:val="00DD2371"/>
    <w:rsid w:val="00DD2A3D"/>
    <w:rsid w:val="00DD2B19"/>
    <w:rsid w:val="00DD30A8"/>
    <w:rsid w:val="00DD35DF"/>
    <w:rsid w:val="00DD3C31"/>
    <w:rsid w:val="00DD4D6F"/>
    <w:rsid w:val="00DD5B14"/>
    <w:rsid w:val="00DD6A50"/>
    <w:rsid w:val="00DD7084"/>
    <w:rsid w:val="00DD70CA"/>
    <w:rsid w:val="00DD7D01"/>
    <w:rsid w:val="00DE1122"/>
    <w:rsid w:val="00DE2E74"/>
    <w:rsid w:val="00DE3215"/>
    <w:rsid w:val="00DE37D7"/>
    <w:rsid w:val="00DE3C75"/>
    <w:rsid w:val="00DE4BC5"/>
    <w:rsid w:val="00DE4E70"/>
    <w:rsid w:val="00DE58EF"/>
    <w:rsid w:val="00DE672E"/>
    <w:rsid w:val="00DE7812"/>
    <w:rsid w:val="00DE7878"/>
    <w:rsid w:val="00DE7DCE"/>
    <w:rsid w:val="00DE7DDE"/>
    <w:rsid w:val="00DF0A2D"/>
    <w:rsid w:val="00DF0C54"/>
    <w:rsid w:val="00DF215F"/>
    <w:rsid w:val="00DF22BC"/>
    <w:rsid w:val="00DF22C6"/>
    <w:rsid w:val="00DF237B"/>
    <w:rsid w:val="00DF332A"/>
    <w:rsid w:val="00DF3E86"/>
    <w:rsid w:val="00DF46F1"/>
    <w:rsid w:val="00DF4B42"/>
    <w:rsid w:val="00DF71B7"/>
    <w:rsid w:val="00E000FF"/>
    <w:rsid w:val="00E002AF"/>
    <w:rsid w:val="00E00523"/>
    <w:rsid w:val="00E01750"/>
    <w:rsid w:val="00E02E89"/>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108"/>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71A"/>
    <w:rsid w:val="00E33ACD"/>
    <w:rsid w:val="00E340A2"/>
    <w:rsid w:val="00E348C1"/>
    <w:rsid w:val="00E34DCA"/>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15CF"/>
    <w:rsid w:val="00E92313"/>
    <w:rsid w:val="00E92688"/>
    <w:rsid w:val="00E92B86"/>
    <w:rsid w:val="00E9336D"/>
    <w:rsid w:val="00E93776"/>
    <w:rsid w:val="00E9393A"/>
    <w:rsid w:val="00E93997"/>
    <w:rsid w:val="00E95F90"/>
    <w:rsid w:val="00E966CB"/>
    <w:rsid w:val="00E97D4A"/>
    <w:rsid w:val="00EA065F"/>
    <w:rsid w:val="00EA0677"/>
    <w:rsid w:val="00EA0A67"/>
    <w:rsid w:val="00EA116D"/>
    <w:rsid w:val="00EA18FA"/>
    <w:rsid w:val="00EA196E"/>
    <w:rsid w:val="00EA2147"/>
    <w:rsid w:val="00EA2692"/>
    <w:rsid w:val="00EA388D"/>
    <w:rsid w:val="00EA3919"/>
    <w:rsid w:val="00EA3FAE"/>
    <w:rsid w:val="00EA4BA7"/>
    <w:rsid w:val="00EA4D88"/>
    <w:rsid w:val="00EA4EE4"/>
    <w:rsid w:val="00EA59BF"/>
    <w:rsid w:val="00EA7079"/>
    <w:rsid w:val="00EA7406"/>
    <w:rsid w:val="00EA769D"/>
    <w:rsid w:val="00EB06C8"/>
    <w:rsid w:val="00EB25F8"/>
    <w:rsid w:val="00EB2EDB"/>
    <w:rsid w:val="00EB3703"/>
    <w:rsid w:val="00EB3897"/>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75E"/>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12A"/>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5125"/>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70A"/>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A51"/>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12F"/>
    <w:rsid w:val="00F72312"/>
    <w:rsid w:val="00F723A3"/>
    <w:rsid w:val="00F727BF"/>
    <w:rsid w:val="00F74718"/>
    <w:rsid w:val="00F74787"/>
    <w:rsid w:val="00F759D3"/>
    <w:rsid w:val="00F75C00"/>
    <w:rsid w:val="00F76A99"/>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ED6"/>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21"/>
    <w:rsid w:val="00FC79B8"/>
    <w:rsid w:val="00FC7B4E"/>
    <w:rsid w:val="00FD04C5"/>
    <w:rsid w:val="00FD0587"/>
    <w:rsid w:val="00FD0704"/>
    <w:rsid w:val="00FD0F44"/>
    <w:rsid w:val="00FD1101"/>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1DFE"/>
    <w:rsid w:val="00FE2616"/>
    <w:rsid w:val="00FE2968"/>
    <w:rsid w:val="00FE3E0C"/>
    <w:rsid w:val="00FE4399"/>
    <w:rsid w:val="00FE44AF"/>
    <w:rsid w:val="00FE474C"/>
    <w:rsid w:val="00FE57D6"/>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en-US"/>
    </w:rPr>
  </w:style>
  <w:style w:type="paragraph" w:styleId="berschrift1">
    <w:name w:val="heading 1"/>
    <w:basedOn w:val="Standard"/>
    <w:next w:val="Standard"/>
    <w:qFormat/>
    <w:pPr>
      <w:keepNext/>
      <w:outlineLvl w:val="0"/>
    </w:pPr>
    <w:rPr>
      <w:rFonts w:ascii="Arial" w:hAnsi="Arial" w:cs="Arial"/>
      <w:b/>
      <w:bCs/>
      <w:sz w:val="20"/>
      <w:szCs w:val="24"/>
      <w:lang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uiPriority w:val="99"/>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eastAsia="de-DE"/>
    </w:rPr>
  </w:style>
  <w:style w:type="paragraph" w:customStyle="1" w:styleId="Copy">
    <w:name w:val="Copy"/>
    <w:basedOn w:val="Standard"/>
    <w:pPr>
      <w:spacing w:line="360" w:lineRule="auto"/>
    </w:pPr>
    <w:rPr>
      <w:rFonts w:ascii="Arial" w:eastAsia="Times" w:hAnsi="Arial"/>
      <w:sz w:val="20"/>
      <w:lang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fr-FR"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eastAsia="de-DE"/>
    </w:rPr>
  </w:style>
  <w:style w:type="paragraph" w:customStyle="1" w:styleId="opener">
    <w:name w:val="opener"/>
    <w:basedOn w:val="Standard"/>
    <w:rsid w:val="00835CB6"/>
    <w:pPr>
      <w:spacing w:before="100" w:beforeAutospacing="1" w:after="375"/>
      <w:ind w:right="300"/>
    </w:pPr>
    <w:rPr>
      <w:szCs w:val="24"/>
      <w:lang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fr-FR"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NichtaufgelsteErwhnung2">
    <w:name w:val="Nicht aufgelöste Erwähnung2"/>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 w:type="paragraph" w:customStyle="1" w:styleId="Embargo">
    <w:name w:val="Embargo"/>
    <w:basedOn w:val="Standard"/>
    <w:qFormat/>
    <w:rsid w:val="000A414E"/>
    <w:pPr>
      <w:spacing w:line="276" w:lineRule="auto"/>
      <w:jc w:val="center"/>
    </w:pPr>
    <w:rPr>
      <w:rFonts w:asciiTheme="minorHAnsi" w:eastAsiaTheme="minorEastAsia" w:hAnsiTheme="minorHAnsi"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7380688">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106681">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38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lobal/hom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nasonic.jp/support/global/cs/ds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anasonic.ch@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379F4-64EF-4B11-AFFC-F844034F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B0602-CFBC-4FF6-8C78-E9CDC0DD59DF}">
  <ds:schemaRefs>
    <ds:schemaRef ds:uri="http://schemas.microsoft.com/sharepoint/v3/contenttype/forms"/>
  </ds:schemaRefs>
</ds:datastoreItem>
</file>

<file path=customXml/itemProps3.xml><?xml version="1.0" encoding="utf-8"?>
<ds:datastoreItem xmlns:ds="http://schemas.openxmlformats.org/officeDocument/2006/customXml" ds:itemID="{5120AF35-7D93-48B9-810A-65D99CA8B423}">
  <ds:schemaRefs>
    <ds:schemaRef ds:uri="http://schemas.openxmlformats.org/officeDocument/2006/bibliography"/>
  </ds:schemaRefs>
</ds:datastoreItem>
</file>

<file path=customXml/itemProps4.xml><?xml version="1.0" encoding="utf-8"?>
<ds:datastoreItem xmlns:ds="http://schemas.openxmlformats.org/officeDocument/2006/customXml" ds:itemID="{63B3833F-EF0E-44BD-9918-9CF6D5AA94D3}">
  <ds:schemaRefs>
    <ds:schemaRef ds:uri="http://purl.org/dc/terms/"/>
    <ds:schemaRef ds:uri="http://schemas.microsoft.com/office/2006/documentManagement/types"/>
    <ds:schemaRef ds:uri="84201312-636d-4ba6-a41c-32f4feab17d9"/>
    <ds:schemaRef ds:uri="http://purl.org/dc/dcmitype/"/>
    <ds:schemaRef ds:uri="http://schemas.microsoft.com/office/infopath/2007/PartnerControls"/>
    <ds:schemaRef ds:uri="http://purl.org/dc/elements/1.1/"/>
    <ds:schemaRef ds:uri="98836300-e441-4d71-8a3a-ac9f6dce1c38"/>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4</Pages>
  <Words>948</Words>
  <Characters>5767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6702</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Stadelmann, Stephanie</cp:lastModifiedBy>
  <cp:revision>6</cp:revision>
  <cp:lastPrinted>2021-10-13T08:47:00Z</cp:lastPrinted>
  <dcterms:created xsi:type="dcterms:W3CDTF">2021-10-05T09:00:00Z</dcterms:created>
  <dcterms:modified xsi:type="dcterms:W3CDTF">2021-10-13T08:48:00Z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