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CAA0E2" w14:textId="57DBDB1B" w:rsidR="00C63426" w:rsidRDefault="00AF1E1A">
      <w:pPr>
        <w:pStyle w:val="Kopfzeile"/>
        <w:tabs>
          <w:tab w:val="clear" w:pos="4153"/>
          <w:tab w:val="clear" w:pos="8306"/>
        </w:tabs>
        <w:rPr>
          <w:noProof/>
        </w:rPr>
      </w:pPr>
      <w:r>
        <w:rPr>
          <w:noProof/>
          <w:lang w:val="de-CH" w:eastAsia="de-CH"/>
        </w:rPr>
        <w:drawing>
          <wp:anchor distT="0" distB="0" distL="114300" distR="114300" simplePos="0" relativeHeight="251658240" behindDoc="0" locked="0" layoutInCell="1" allowOverlap="1" wp14:anchorId="65797947" wp14:editId="01EE1FBE">
            <wp:simplePos x="0" y="0"/>
            <wp:positionH relativeFrom="margin">
              <wp:posOffset>2166620</wp:posOffset>
            </wp:positionH>
            <wp:positionV relativeFrom="paragraph">
              <wp:posOffset>1333500</wp:posOffset>
            </wp:positionV>
            <wp:extent cx="2832735" cy="1422400"/>
            <wp:effectExtent l="0" t="0" r="5715" b="635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32735" cy="1422400"/>
                    </a:xfrm>
                    <a:prstGeom prst="rect">
                      <a:avLst/>
                    </a:prstGeom>
                  </pic:spPr>
                </pic:pic>
              </a:graphicData>
            </a:graphic>
            <wp14:sizeRelH relativeFrom="page">
              <wp14:pctWidth>0</wp14:pctWidth>
            </wp14:sizeRelH>
            <wp14:sizeRelV relativeFrom="page">
              <wp14:pctHeight>0</wp14:pctHeight>
            </wp14:sizeRelV>
          </wp:anchor>
        </w:drawing>
      </w:r>
      <w:r>
        <w:rPr>
          <w:noProof/>
          <w:lang w:val="de-CH" w:eastAsia="de-CH"/>
        </w:rPr>
        <w:drawing>
          <wp:anchor distT="0" distB="0" distL="114300" distR="114300" simplePos="0" relativeHeight="251659264" behindDoc="0" locked="0" layoutInCell="1" allowOverlap="1" wp14:anchorId="60C0F6B4" wp14:editId="37959E7E">
            <wp:simplePos x="0" y="0"/>
            <wp:positionH relativeFrom="margin">
              <wp:posOffset>62865</wp:posOffset>
            </wp:positionH>
            <wp:positionV relativeFrom="paragraph">
              <wp:posOffset>1508125</wp:posOffset>
            </wp:positionV>
            <wp:extent cx="1971040" cy="11264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71040" cy="1126490"/>
                    </a:xfrm>
                    <a:prstGeom prst="rect">
                      <a:avLst/>
                    </a:prstGeom>
                  </pic:spPr>
                </pic:pic>
              </a:graphicData>
            </a:graphic>
            <wp14:sizeRelH relativeFrom="page">
              <wp14:pctWidth>0</wp14:pctWidth>
            </wp14:sizeRelH>
            <wp14:sizeRelV relativeFrom="page">
              <wp14:pctHeight>0</wp14:pctHeight>
            </wp14:sizeRelV>
          </wp:anchor>
        </w:drawing>
      </w:r>
    </w:p>
    <w:p w14:paraId="3E9F713C" w14:textId="484C3527" w:rsidR="00C606C6" w:rsidRPr="00A75CA8" w:rsidRDefault="00C606C6">
      <w:pPr>
        <w:pStyle w:val="Kopfzeile"/>
        <w:tabs>
          <w:tab w:val="clear" w:pos="4153"/>
          <w:tab w:val="clear" w:pos="8306"/>
        </w:tabs>
        <w:rPr>
          <w:rFonts w:ascii="DIN-Bold" w:hAnsi="DIN-Bold" w:cs="Arial"/>
          <w:sz w:val="20"/>
          <w:lang w:val="de-DE"/>
        </w:rPr>
      </w:pPr>
    </w:p>
    <w:p w14:paraId="16C88723" w14:textId="503A6E74" w:rsidR="0019317F" w:rsidRPr="00357A60" w:rsidRDefault="00E06F99" w:rsidP="006A5758">
      <w:pPr>
        <w:framePr w:w="7747" w:h="295" w:hSpace="142" w:wrap="around" w:vAnchor="page" w:hAnchor="page" w:x="908" w:y="4991" w:anchorLock="1"/>
        <w:rPr>
          <w:rFonts w:ascii="DIN-Medium" w:hAnsi="DIN-Medium"/>
          <w:sz w:val="31"/>
        </w:rPr>
      </w:pPr>
      <w:r>
        <w:rPr>
          <w:rFonts w:ascii="DIN-Medium" w:hAnsi="DIN-Medium"/>
          <w:sz w:val="31"/>
        </w:rPr>
        <w:t>Télézoom LUMIX S 70-300 mm puissant et compact</w:t>
      </w:r>
    </w:p>
    <w:p w14:paraId="487F8E54" w14:textId="02A087A7" w:rsidR="006A5758" w:rsidRPr="005D652D" w:rsidRDefault="00CE1C38" w:rsidP="006A5758">
      <w:pPr>
        <w:framePr w:w="7747" w:h="295" w:hSpace="142" w:wrap="around" w:vAnchor="page" w:hAnchor="page" w:x="908" w:y="4991" w:anchorLock="1"/>
        <w:rPr>
          <w:rFonts w:ascii="DIN-Medium" w:hAnsi="DIN-Medium"/>
          <w:sz w:val="31"/>
        </w:rPr>
      </w:pPr>
      <w:r>
        <w:rPr>
          <w:rFonts w:ascii="DIN-Black" w:hAnsi="DIN-Black"/>
          <w:sz w:val="25"/>
        </w:rPr>
        <w:t>Le Panasonic LUMIX S 70-300 mm F4.5-5.6 MACRO O.I.S. vient compléter l’offre pour les appareils photo hybrides plein format de la série LUMIX S</w:t>
      </w:r>
    </w:p>
    <w:p w14:paraId="6083FE8F" w14:textId="2A3D189E" w:rsidR="008460A2" w:rsidRDefault="008460A2" w:rsidP="008460A2">
      <w:pPr>
        <w:framePr w:w="7774" w:h="1435" w:hRule="exact" w:hSpace="142" w:wrap="around" w:vAnchor="page" w:hAnchor="page" w:x="914" w:y="3460" w:anchorLock="1"/>
        <w:spacing w:before="120" w:line="220" w:lineRule="exact"/>
        <w:rPr>
          <w:rFonts w:ascii="Arial" w:hAnsi="Arial"/>
          <w:color w:val="808080"/>
          <w:sz w:val="22"/>
        </w:rPr>
      </w:pPr>
      <w:r>
        <w:rPr>
          <w:rFonts w:ascii="DIN-Black" w:hAnsi="DIN-Black"/>
          <w:color w:val="000000"/>
          <w:sz w:val="31"/>
        </w:rPr>
        <w:t>COMMUNIQUÉ DE PRESSE</w:t>
      </w:r>
      <w:r>
        <w:rPr>
          <w:rFonts w:ascii="Arial" w:hAnsi="Arial"/>
          <w:sz w:val="22"/>
        </w:rPr>
        <w:br/>
      </w:r>
      <w:r>
        <w:rPr>
          <w:rFonts w:ascii="DIN-Black" w:hAnsi="DIN-Black"/>
          <w:color w:val="808080"/>
          <w:sz w:val="22"/>
        </w:rPr>
        <w:t>Février 2021</w:t>
      </w:r>
    </w:p>
    <w:p w14:paraId="42C9B02E" w14:textId="77777777" w:rsidR="008460A2" w:rsidRPr="00F346CB" w:rsidRDefault="008460A2" w:rsidP="008460A2">
      <w:pPr>
        <w:framePr w:w="7774" w:h="1435" w:hRule="exact" w:hSpace="142" w:wrap="around" w:vAnchor="page" w:hAnchor="page" w:x="914" w:y="3460" w:anchorLock="1"/>
        <w:spacing w:before="120" w:line="360" w:lineRule="auto"/>
        <w:jc w:val="both"/>
        <w:rPr>
          <w:rFonts w:ascii="Helvetica" w:hAnsi="Helvetica"/>
          <w:sz w:val="22"/>
        </w:rPr>
      </w:pPr>
    </w:p>
    <w:p w14:paraId="4D0116BD"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4236C7DD"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32DE472E"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618FCD9F"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2099714B"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30B1F042"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7C457DE3"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190706BB"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58856851"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434D44B0"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6AF24F20"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5F6FDE2E"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0BE91119"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7D4DAEB4"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71E250B1"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04465A07"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6BAB1671"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27DA959C"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281360FD"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65646AD1"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5D941FA8"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14F48073"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5F196911"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7D7E5E69"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2B306330"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68334530"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162CDCAB"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7B0950F5" w14:textId="69AAD31F" w:rsidR="00192093" w:rsidRPr="00AF1E1A" w:rsidRDefault="00AF1E1A" w:rsidP="000A4552">
      <w:pPr>
        <w:framePr w:w="2155" w:h="7655" w:hSpace="142" w:wrap="around" w:vAnchor="page" w:hAnchor="page" w:x="8904" w:y="4865" w:anchorLock="1"/>
        <w:rPr>
          <w:rFonts w:ascii="DIN-Medium" w:hAnsi="DIN-Medium"/>
          <w:sz w:val="16"/>
          <w:szCs w:val="16"/>
        </w:rPr>
      </w:pPr>
      <w:r>
        <w:rPr>
          <w:rFonts w:ascii="DIN-Medium" w:hAnsi="DIN-Medium"/>
          <w:sz w:val="14"/>
        </w:rPr>
        <w:br/>
      </w:r>
      <w:r>
        <w:rPr>
          <w:rFonts w:ascii="DIN-Medium" w:hAnsi="DIN-Medium"/>
          <w:sz w:val="16"/>
        </w:rPr>
        <w:br/>
      </w:r>
    </w:p>
    <w:p w14:paraId="0899C366"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6078A227"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643E92C4"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1683039B"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70B97655"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3D922209"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206F01B4"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097C935D"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7F1EAB96"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4503E19E"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511D37DB"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0CF3C4FB"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52AB4179"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318E912D"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3351AD84" w14:textId="77777777" w:rsidR="00192093" w:rsidRPr="00F346CB" w:rsidRDefault="00192093" w:rsidP="000A4552">
      <w:pPr>
        <w:framePr w:w="2155" w:h="7655" w:hSpace="142" w:wrap="around" w:vAnchor="page" w:hAnchor="page" w:x="8904" w:y="4865" w:anchorLock="1"/>
        <w:rPr>
          <w:rFonts w:ascii="DIN-Medium" w:hAnsi="DIN-Medium"/>
          <w:sz w:val="14"/>
          <w:szCs w:val="14"/>
        </w:rPr>
      </w:pPr>
    </w:p>
    <w:p w14:paraId="716F96A9" w14:textId="0A46811B" w:rsidR="000A4552" w:rsidRPr="00192093" w:rsidRDefault="000A4552" w:rsidP="000A4552">
      <w:pPr>
        <w:framePr w:w="2155" w:h="7655" w:hSpace="142" w:wrap="around" w:vAnchor="page" w:hAnchor="page" w:x="8904" w:y="4865" w:anchorLock="1"/>
        <w:rPr>
          <w:rFonts w:ascii="DIN-Medium" w:hAnsi="DIN-Medium"/>
          <w:sz w:val="14"/>
          <w:szCs w:val="14"/>
        </w:rPr>
      </w:pPr>
      <w:r>
        <w:rPr>
          <w:rFonts w:ascii="DIN-Medium" w:hAnsi="DIN-Medium"/>
          <w:sz w:val="14"/>
        </w:rPr>
        <w:t xml:space="preserve">Vous trouverez ce communiqué de presse et les photos de presse (disponibles pour téléchargement en 300 dpi) sur </w:t>
      </w:r>
      <w:hyperlink r:id="rId10" w:history="1">
        <w:r>
          <w:rPr>
            <w:rStyle w:val="Hyperlink"/>
            <w:rFonts w:ascii="DIN-Medium" w:hAnsi="DIN-Medium"/>
            <w:sz w:val="14"/>
          </w:rPr>
          <w:t>www.panasonic.com/ch/de/corporate/presse.html</w:t>
        </w:r>
      </w:hyperlink>
    </w:p>
    <w:p w14:paraId="46D1B666" w14:textId="08E082E2" w:rsidR="00C63426" w:rsidRPr="006B2CE6" w:rsidRDefault="001761D4" w:rsidP="004F79E1">
      <w:pPr>
        <w:autoSpaceDE w:val="0"/>
        <w:autoSpaceDN w:val="0"/>
        <w:adjustRightInd w:val="0"/>
        <w:rPr>
          <w:rFonts w:ascii="DIN-Bold" w:hAnsi="DIN-Bold"/>
          <w:sz w:val="20"/>
        </w:rPr>
      </w:pPr>
      <w:proofErr w:type="spellStart"/>
      <w:r>
        <w:rPr>
          <w:rFonts w:ascii="DIN-Bold" w:hAnsi="DIN-Bold"/>
          <w:sz w:val="20"/>
        </w:rPr>
        <w:t>Rotkreuz</w:t>
      </w:r>
      <w:proofErr w:type="spellEnd"/>
      <w:r>
        <w:rPr>
          <w:rFonts w:ascii="DIN-Bold" w:hAnsi="DIN-Bold"/>
          <w:sz w:val="20"/>
        </w:rPr>
        <w:t xml:space="preserve">, février 2021 – Avec le LUMIX S 70-300mm F4.5-5.6 MACRO O.I.S. (S-R70300), Panasonic présente un télézoom à plage focale très variable, qui assure une excellente qualité d’image permettant de réaliser des photos et des vidéos impressionnantes. </w:t>
      </w:r>
      <w:r>
        <w:rPr>
          <w:rFonts w:ascii="DIN-Bold" w:hAnsi="DIN-Bold"/>
          <w:sz w:val="20"/>
        </w:rPr>
        <w:br/>
        <w:t>Il s’ajoute à la liste des optiques en monture L</w:t>
      </w:r>
      <w:r>
        <w:rPr>
          <w:rFonts w:ascii="DIN-Bold" w:hAnsi="DIN-Bold"/>
          <w:sz w:val="20"/>
          <w:vertAlign w:val="superscript"/>
        </w:rPr>
        <w:t xml:space="preserve"> 1</w:t>
      </w:r>
      <w:r>
        <w:rPr>
          <w:rFonts w:ascii="DIN-Bold" w:hAnsi="DIN-Bold"/>
          <w:sz w:val="20"/>
        </w:rPr>
        <w:t xml:space="preserve"> pour les appareils photo plein format sans miroir de la série LUMIX S.</w:t>
      </w:r>
    </w:p>
    <w:p w14:paraId="5AE9524F" w14:textId="43A75F30" w:rsidR="00C63426" w:rsidRPr="00F346CB" w:rsidRDefault="00C63426" w:rsidP="004F79E1">
      <w:pPr>
        <w:autoSpaceDE w:val="0"/>
        <w:autoSpaceDN w:val="0"/>
        <w:adjustRightInd w:val="0"/>
        <w:rPr>
          <w:rFonts w:ascii="DIN-Regular" w:hAnsi="DIN-Regular" w:cs="Helv"/>
          <w:color w:val="000000"/>
          <w:sz w:val="20"/>
        </w:rPr>
      </w:pPr>
    </w:p>
    <w:p w14:paraId="497AAC2A" w14:textId="6AD4B2A1" w:rsidR="005F48C1" w:rsidRDefault="004A0943" w:rsidP="005F48C1">
      <w:pPr>
        <w:autoSpaceDE w:val="0"/>
        <w:autoSpaceDN w:val="0"/>
        <w:adjustRightInd w:val="0"/>
        <w:rPr>
          <w:rFonts w:ascii="DIN-Regular" w:hAnsi="DIN-Regular" w:cs="Helv"/>
          <w:color w:val="000000"/>
          <w:sz w:val="20"/>
        </w:rPr>
      </w:pPr>
      <w:r>
        <w:rPr>
          <w:rFonts w:ascii="DIN-Regular" w:hAnsi="DIN-Regular"/>
          <w:color w:val="000000"/>
          <w:sz w:val="20"/>
        </w:rPr>
        <w:t>Dans ce nouveau télézoom, le système de double stabilisation (Dual I.S.) combine le stabilisateur d’image optique (O.I.S.) de l’objectif avec le stabilisateur intégré aux appareils photo de la série LUMIX S, ce qui permet de compenser les flous et d’utiliser une vitesse d’obturation</w:t>
      </w:r>
      <w:r>
        <w:rPr>
          <w:rFonts w:ascii="DIN-Regular" w:hAnsi="DIN-Regular"/>
          <w:color w:val="000000"/>
          <w:sz w:val="20"/>
          <w:vertAlign w:val="superscript"/>
        </w:rPr>
        <w:t xml:space="preserve"> 2</w:t>
      </w:r>
      <w:r>
        <w:rPr>
          <w:rFonts w:ascii="DIN-Regular" w:hAnsi="DIN-Regular"/>
          <w:color w:val="000000"/>
          <w:sz w:val="20"/>
        </w:rPr>
        <w:t xml:space="preserve"> plus lente de 5.5 stops. Le moteur de mise au point avec un capteur à haute vitesse fonctionnant à 480 </w:t>
      </w:r>
      <w:proofErr w:type="spellStart"/>
      <w:r>
        <w:rPr>
          <w:rFonts w:ascii="DIN-Regular" w:hAnsi="DIN-Regular"/>
          <w:color w:val="000000"/>
          <w:sz w:val="20"/>
        </w:rPr>
        <w:t>ips</w:t>
      </w:r>
      <w:proofErr w:type="spellEnd"/>
      <w:r>
        <w:rPr>
          <w:rFonts w:ascii="DIN-Regular" w:hAnsi="DIN-Regular"/>
          <w:color w:val="000000"/>
          <w:sz w:val="20"/>
        </w:rPr>
        <w:t xml:space="preserve"> offre des performances autofocus rapides e</w:t>
      </w:r>
      <w:bookmarkStart w:id="0" w:name="_GoBack"/>
      <w:bookmarkEnd w:id="0"/>
      <w:r>
        <w:rPr>
          <w:rFonts w:ascii="DIN-Regular" w:hAnsi="DIN-Regular"/>
          <w:color w:val="000000"/>
          <w:sz w:val="20"/>
        </w:rPr>
        <w:t>t ultraprécises.</w:t>
      </w:r>
    </w:p>
    <w:p w14:paraId="1808F4A2" w14:textId="77777777" w:rsidR="005F48C1" w:rsidRPr="00F346CB" w:rsidRDefault="005F48C1" w:rsidP="005F48C1">
      <w:pPr>
        <w:autoSpaceDE w:val="0"/>
        <w:autoSpaceDN w:val="0"/>
        <w:adjustRightInd w:val="0"/>
        <w:rPr>
          <w:rFonts w:ascii="DIN-Regular" w:hAnsi="DIN-Regular" w:cs="Helv"/>
          <w:color w:val="000000"/>
          <w:sz w:val="20"/>
        </w:rPr>
      </w:pPr>
    </w:p>
    <w:p w14:paraId="06ECE87F" w14:textId="09DE8787" w:rsidR="005F48C1" w:rsidRDefault="005F48C1" w:rsidP="005F48C1">
      <w:pPr>
        <w:autoSpaceDE w:val="0"/>
        <w:autoSpaceDN w:val="0"/>
        <w:adjustRightInd w:val="0"/>
        <w:rPr>
          <w:rFonts w:ascii="DIN-Regular" w:hAnsi="DIN-Regular" w:cs="Helv"/>
          <w:color w:val="000000"/>
          <w:sz w:val="20"/>
        </w:rPr>
      </w:pPr>
      <w:r>
        <w:rPr>
          <w:rFonts w:ascii="DIN-Regular" w:hAnsi="DIN-Regular"/>
          <w:color w:val="000000"/>
          <w:sz w:val="20"/>
        </w:rPr>
        <w:t xml:space="preserve">Avec une excellente mise au point rapprochée de 0,54 m/0,74 m </w:t>
      </w:r>
      <w:r>
        <w:rPr>
          <w:rFonts w:ascii="DIN-Regular" w:hAnsi="DIN-Regular"/>
          <w:color w:val="000000"/>
          <w:sz w:val="20"/>
          <w:vertAlign w:val="superscript"/>
        </w:rPr>
        <w:t>3</w:t>
      </w:r>
      <w:r>
        <w:rPr>
          <w:rFonts w:ascii="DIN-Regular" w:hAnsi="DIN-Regular"/>
          <w:color w:val="000000"/>
          <w:sz w:val="20"/>
        </w:rPr>
        <w:t xml:space="preserve"> le LUMIX S 70-300 mm F4,5-5,6 MACRO O.I.S. propose un grossissement maximal de 0,5 fois (à 300 mm) et permet ainsi des réalisations macro et vidéo en grandeur demi-nature. Le diaphragme circulaire qui comporte 11 lamelles offre un bokeh particulièrement beau sur toute la plage de zoom.</w:t>
      </w:r>
    </w:p>
    <w:p w14:paraId="1D359300" w14:textId="77777777" w:rsidR="005F48C1" w:rsidRPr="00F346CB" w:rsidRDefault="005F48C1" w:rsidP="005F48C1">
      <w:pPr>
        <w:autoSpaceDE w:val="0"/>
        <w:autoSpaceDN w:val="0"/>
        <w:adjustRightInd w:val="0"/>
        <w:rPr>
          <w:rFonts w:ascii="DIN-Regular" w:hAnsi="DIN-Regular" w:cs="Helv"/>
          <w:color w:val="000000"/>
          <w:sz w:val="20"/>
        </w:rPr>
      </w:pPr>
    </w:p>
    <w:p w14:paraId="2B551FDF" w14:textId="7CD5B4E2" w:rsidR="005F48C1" w:rsidRDefault="005F48C1" w:rsidP="005F48C1">
      <w:pPr>
        <w:autoSpaceDE w:val="0"/>
        <w:autoSpaceDN w:val="0"/>
        <w:adjustRightInd w:val="0"/>
        <w:rPr>
          <w:rFonts w:ascii="DIN-Regular" w:hAnsi="DIN-Regular" w:cs="Helv"/>
          <w:color w:val="000000"/>
          <w:sz w:val="20"/>
        </w:rPr>
      </w:pPr>
      <w:r>
        <w:rPr>
          <w:rFonts w:ascii="DIN-Regular" w:hAnsi="DIN-Regular"/>
          <w:color w:val="000000"/>
          <w:sz w:val="20"/>
        </w:rPr>
        <w:t>Néanmoins, le LUMIX S 70-300 mm F4,5-5,6 MACRO O.I.S. est compact et léger, offrant une mobilité confortable. La construction robuste et la protection anti-poussière et anti-éclaboussures</w:t>
      </w:r>
      <w:r>
        <w:rPr>
          <w:rFonts w:ascii="DIN-Regular" w:hAnsi="DIN-Regular"/>
          <w:color w:val="000000"/>
          <w:sz w:val="20"/>
          <w:vertAlign w:val="superscript"/>
        </w:rPr>
        <w:t xml:space="preserve"> 4</w:t>
      </w:r>
      <w:r>
        <w:rPr>
          <w:rFonts w:ascii="DIN-Regular" w:hAnsi="DIN-Regular"/>
          <w:color w:val="000000"/>
          <w:sz w:val="20"/>
        </w:rPr>
        <w:t xml:space="preserve"> permettent une utilisation dans des conditions difficiles allant jusqu’à -10°C. Le revêtement fluor empêche de surcroît l’eau ou l’huile de s’accrocher sur la lentille avant. Le filtre affiche un diamètre de 77 </w:t>
      </w:r>
      <w:proofErr w:type="spellStart"/>
      <w:r>
        <w:rPr>
          <w:rFonts w:ascii="DIN-Regular" w:hAnsi="DIN-Regular"/>
          <w:color w:val="000000"/>
          <w:sz w:val="20"/>
        </w:rPr>
        <w:t>mm.</w:t>
      </w:r>
      <w:proofErr w:type="spellEnd"/>
    </w:p>
    <w:p w14:paraId="048DCDE6" w14:textId="77777777" w:rsidR="005F48C1" w:rsidRPr="00F346CB" w:rsidRDefault="005F48C1" w:rsidP="005F48C1">
      <w:pPr>
        <w:autoSpaceDE w:val="0"/>
        <w:autoSpaceDN w:val="0"/>
        <w:adjustRightInd w:val="0"/>
        <w:rPr>
          <w:rFonts w:ascii="DIN-Regular" w:hAnsi="DIN-Regular" w:cs="Helv"/>
          <w:color w:val="000000"/>
          <w:sz w:val="20"/>
        </w:rPr>
      </w:pPr>
    </w:p>
    <w:p w14:paraId="64C79722" w14:textId="2DDD953D" w:rsidR="00405CBB" w:rsidRPr="00405CBB" w:rsidRDefault="00405CBB" w:rsidP="00405CBB">
      <w:pPr>
        <w:autoSpaceDE w:val="0"/>
        <w:autoSpaceDN w:val="0"/>
        <w:adjustRightInd w:val="0"/>
        <w:rPr>
          <w:rFonts w:ascii="DIN-Regular" w:hAnsi="DIN-Regular" w:cs="Helv"/>
          <w:color w:val="000000"/>
          <w:sz w:val="20"/>
        </w:rPr>
      </w:pPr>
      <w:r>
        <w:rPr>
          <w:rFonts w:ascii="DIN-Regular" w:hAnsi="DIN-Regular"/>
          <w:color w:val="000000"/>
          <w:sz w:val="20"/>
        </w:rPr>
        <w:t>L’agencement optimisé des 17 éléments en 11 groupes, avec la combinaison d’une lentille à Ultra Extra-faible Dispersion (UED), de deux lentilles à Extra-faible Dispersion (ED) et d’une lentille à Ultra Haute Réfraction (UHR), permet à cet objectif de réduire efficacement les aberrations chromatiques axiales (téléobjectif) et de grossissement (grand-angle). La lentille UHR notamment produit une qualité homogène du centre de l’image jusque sur les bords tout en contribuant simultanément à la taille compacte de l’objectif.</w:t>
      </w:r>
    </w:p>
    <w:p w14:paraId="2A809B5B" w14:textId="22D4CC33" w:rsidR="00046523" w:rsidRPr="00F346CB" w:rsidRDefault="00046523" w:rsidP="004F79E1">
      <w:pPr>
        <w:autoSpaceDE w:val="0"/>
        <w:autoSpaceDN w:val="0"/>
        <w:adjustRightInd w:val="0"/>
        <w:rPr>
          <w:rFonts w:ascii="DIN-Regular" w:hAnsi="DIN-Regular" w:cs="Helv"/>
          <w:color w:val="000000"/>
          <w:sz w:val="20"/>
        </w:rPr>
      </w:pPr>
    </w:p>
    <w:p w14:paraId="1B16D254" w14:textId="68DB2DEC" w:rsidR="00046523" w:rsidRDefault="00046523" w:rsidP="00046523">
      <w:pPr>
        <w:autoSpaceDE w:val="0"/>
        <w:autoSpaceDN w:val="0"/>
        <w:adjustRightInd w:val="0"/>
        <w:rPr>
          <w:rFonts w:ascii="DIN-Regular" w:hAnsi="DIN-Regular" w:cs="Helv"/>
          <w:color w:val="000000"/>
          <w:sz w:val="20"/>
        </w:rPr>
      </w:pPr>
      <w:r>
        <w:rPr>
          <w:rFonts w:ascii="DIN-Regular" w:hAnsi="DIN-Regular"/>
          <w:color w:val="000000"/>
          <w:sz w:val="20"/>
        </w:rPr>
        <w:t xml:space="preserve">Tous les objectifs de la série LUMIX S se distinguent par un mécanisme d’enregistrement vidéo qui réduit l’effet de «focus </w:t>
      </w:r>
      <w:proofErr w:type="spellStart"/>
      <w:r>
        <w:rPr>
          <w:rFonts w:ascii="DIN-Regular" w:hAnsi="DIN-Regular"/>
          <w:color w:val="000000"/>
          <w:sz w:val="20"/>
        </w:rPr>
        <w:t>breathing</w:t>
      </w:r>
      <w:proofErr w:type="spellEnd"/>
      <w:r>
        <w:rPr>
          <w:rFonts w:ascii="DIN-Regular" w:hAnsi="DIN-Regular"/>
          <w:color w:val="000000"/>
          <w:sz w:val="20"/>
        </w:rPr>
        <w:t>», un phénomène fréquent avec les objectifs interchangeables principalement conçus pour réaliser des image</w:t>
      </w:r>
      <w:r w:rsidR="00F346CB">
        <w:rPr>
          <w:rFonts w:ascii="DIN-Regular" w:hAnsi="DIN-Regular"/>
          <w:color w:val="000000"/>
          <w:sz w:val="20"/>
        </w:rPr>
        <w:t>s</w:t>
      </w:r>
      <w:r>
        <w:rPr>
          <w:rFonts w:ascii="DIN-Regular" w:hAnsi="DIN-Regular"/>
          <w:color w:val="000000"/>
          <w:sz w:val="20"/>
        </w:rPr>
        <w:t xml:space="preserve"> fixes. Par ailleurs, la mise au point est conservée même lors de l’utilisation du zoom, de sorte que le sujet reste net. Cet outil est idéal pour réaliser des vidéos de qualité.</w:t>
      </w:r>
    </w:p>
    <w:p w14:paraId="14EE8B9D" w14:textId="1E6EC1FB" w:rsidR="001221E0" w:rsidRPr="00F346CB" w:rsidRDefault="001221E0" w:rsidP="00046523">
      <w:pPr>
        <w:autoSpaceDE w:val="0"/>
        <w:autoSpaceDN w:val="0"/>
        <w:adjustRightInd w:val="0"/>
        <w:rPr>
          <w:rFonts w:ascii="DIN-Regular" w:hAnsi="DIN-Regular" w:cs="Helv"/>
          <w:color w:val="000000"/>
          <w:sz w:val="20"/>
        </w:rPr>
      </w:pPr>
    </w:p>
    <w:p w14:paraId="18B77FE5" w14:textId="403DF083" w:rsidR="00DF28C9" w:rsidRPr="00AF1E1A" w:rsidRDefault="001221E0" w:rsidP="00DF28C9">
      <w:pPr>
        <w:pStyle w:val="berschrift3"/>
        <w:rPr>
          <w:rFonts w:ascii="DIN-Bold" w:hAnsi="DIN-Bold"/>
          <w:sz w:val="20"/>
        </w:rPr>
      </w:pPr>
      <w:r>
        <w:rPr>
          <w:rFonts w:ascii="DIN-Regular" w:hAnsi="DIN-Regular"/>
          <w:b w:val="0"/>
          <w:color w:val="000000"/>
          <w:sz w:val="20"/>
        </w:rPr>
        <w:t>Le nouveau LUMIX S-R70300 vient allonger la liste des optiques en monture L qui comprend désormais, avec Leica et Sigma, 45 objectifs au total.</w:t>
      </w:r>
      <w:r>
        <w:rPr>
          <w:b w:val="0"/>
        </w:rPr>
        <w:t xml:space="preserve"> </w:t>
      </w:r>
      <w:r>
        <w:rPr>
          <w:rFonts w:ascii="DIN-Regular" w:hAnsi="DIN-Regular"/>
          <w:b w:val="0"/>
          <w:color w:val="000000"/>
          <w:sz w:val="20"/>
        </w:rPr>
        <w:t>Panasonic et la L Mount Alliance s’associent pour développer les objectifs à monture L, étoffer rapidement la gamme et répondre du mieux possible aux besoins des clients.</w:t>
      </w:r>
      <w:r>
        <w:rPr>
          <w:rFonts w:ascii="DIN-Regular" w:hAnsi="DIN-Regular"/>
          <w:b w:val="0"/>
          <w:color w:val="000000"/>
          <w:sz w:val="20"/>
        </w:rPr>
        <w:br/>
      </w:r>
      <w:r>
        <w:rPr>
          <w:rFonts w:ascii="DIN-Regular" w:hAnsi="DIN-Regular"/>
          <w:b w:val="0"/>
          <w:color w:val="000000"/>
          <w:sz w:val="20"/>
        </w:rPr>
        <w:br/>
      </w:r>
      <w:r>
        <w:rPr>
          <w:rFonts w:ascii="DIN-Regular" w:hAnsi="DIN-Regular"/>
          <w:b w:val="0"/>
          <w:sz w:val="20"/>
        </w:rPr>
        <w:t>L’objectif sera disponible dans le commerce dès le mois d’avril 2021. Le prix de vente conseillé de l’objectif LUMIX S 70-300 mm F4.5-5.6 s’élève à 1699 </w:t>
      </w:r>
      <w:r>
        <w:rPr>
          <w:rFonts w:ascii="DIN-Regular" w:hAnsi="DIN-Regular"/>
          <w:b w:val="0"/>
          <w:color w:val="000000" w:themeColor="text1"/>
          <w:sz w:val="20"/>
        </w:rPr>
        <w:t>CHF.</w:t>
      </w:r>
      <w:r>
        <w:rPr>
          <w:rFonts w:ascii="DIN-Regular" w:hAnsi="DIN-Regular"/>
          <w:b w:val="0"/>
          <w:sz w:val="20"/>
        </w:rPr>
        <w:br/>
      </w:r>
      <w:r>
        <w:rPr>
          <w:rFonts w:ascii="DIN-Regular" w:hAnsi="DIN-Regular"/>
          <w:sz w:val="20"/>
        </w:rPr>
        <w:br/>
      </w:r>
      <w:r>
        <w:rPr>
          <w:rFonts w:ascii="DIN-Bold" w:hAnsi="DIN-Bold"/>
          <w:sz w:val="20"/>
        </w:rPr>
        <w:t>Caractéristiques techniques</w:t>
      </w:r>
    </w:p>
    <w:p w14:paraId="52B23E5F" w14:textId="77777777" w:rsidR="00DF28C9" w:rsidRPr="00AF1E1A" w:rsidRDefault="00DF28C9" w:rsidP="00DF28C9">
      <w:pPr>
        <w:rPr>
          <w:lang w:val="de-CH"/>
        </w:rPr>
      </w:pPr>
    </w:p>
    <w:tbl>
      <w:tblPr>
        <w:tblW w:w="492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35"/>
        <w:gridCol w:w="5016"/>
      </w:tblGrid>
      <w:tr w:rsidR="00DF28C9" w:rsidRPr="00ED731E" w14:paraId="3FE98761" w14:textId="77777777" w:rsidTr="00913D3E">
        <w:trPr>
          <w:trHeight w:val="189"/>
        </w:trPr>
        <w:tc>
          <w:tcPr>
            <w:tcW w:w="1764" w:type="pct"/>
            <w:shd w:val="clear" w:color="auto" w:fill="CCCCCC"/>
            <w:noWrap/>
          </w:tcPr>
          <w:p w14:paraId="1B0F959C" w14:textId="77777777" w:rsidR="00DF28C9" w:rsidRPr="009011B5" w:rsidRDefault="00DF28C9" w:rsidP="00913D3E">
            <w:pPr>
              <w:rPr>
                <w:rFonts w:ascii="DIN-Bold" w:hAnsi="DIN-Bold" w:cs="Arial"/>
                <w:color w:val="000000"/>
                <w:sz w:val="16"/>
                <w:szCs w:val="16"/>
              </w:rPr>
            </w:pPr>
            <w:r>
              <w:rPr>
                <w:rFonts w:ascii="DIN-Bold" w:hAnsi="DIN-Bold"/>
                <w:color w:val="000000"/>
                <w:sz w:val="16"/>
              </w:rPr>
              <w:t>OBJECTIF</w:t>
            </w:r>
          </w:p>
        </w:tc>
        <w:tc>
          <w:tcPr>
            <w:tcW w:w="3236" w:type="pct"/>
            <w:shd w:val="clear" w:color="auto" w:fill="CCCCCC"/>
          </w:tcPr>
          <w:p w14:paraId="3FEB4602" w14:textId="121B5815" w:rsidR="00DF28C9" w:rsidRPr="009011B5" w:rsidRDefault="00DF28C9" w:rsidP="00913D3E">
            <w:pPr>
              <w:autoSpaceDE w:val="0"/>
              <w:autoSpaceDN w:val="0"/>
              <w:adjustRightInd w:val="0"/>
              <w:jc w:val="center"/>
              <w:rPr>
                <w:rFonts w:ascii="DIN-Bold" w:hAnsi="DIN-Bold" w:cs="Arial"/>
                <w:sz w:val="16"/>
                <w:szCs w:val="16"/>
              </w:rPr>
            </w:pPr>
            <w:proofErr w:type="spellStart"/>
            <w:r>
              <w:rPr>
                <w:rFonts w:ascii="DIN-Bold" w:hAnsi="DIN-Bold"/>
                <w:sz w:val="16"/>
              </w:rPr>
              <w:t>Lumix</w:t>
            </w:r>
            <w:proofErr w:type="spellEnd"/>
            <w:r>
              <w:rPr>
                <w:rFonts w:ascii="DIN-Bold" w:hAnsi="DIN-Bold"/>
                <w:sz w:val="16"/>
              </w:rPr>
              <w:t xml:space="preserve"> S 70-300 mm F4.5-5.6</w:t>
            </w:r>
          </w:p>
        </w:tc>
      </w:tr>
      <w:tr w:rsidR="00DF28C9" w:rsidRPr="000E6156" w14:paraId="0CDA46D3" w14:textId="77777777" w:rsidTr="00913D3E">
        <w:trPr>
          <w:trHeight w:val="189"/>
        </w:trPr>
        <w:tc>
          <w:tcPr>
            <w:tcW w:w="1764" w:type="pct"/>
            <w:noWrap/>
          </w:tcPr>
          <w:p w14:paraId="7CFB671B" w14:textId="16A0F32E" w:rsidR="00DF28C9" w:rsidRPr="009011B5" w:rsidRDefault="00D40138" w:rsidP="00913D3E">
            <w:pPr>
              <w:autoSpaceDE w:val="0"/>
              <w:autoSpaceDN w:val="0"/>
              <w:adjustRightInd w:val="0"/>
              <w:rPr>
                <w:rFonts w:ascii="DIN-Regular" w:hAnsi="DIN-Regular" w:cs="Helv"/>
                <w:color w:val="000000"/>
                <w:sz w:val="16"/>
                <w:szCs w:val="16"/>
              </w:rPr>
            </w:pPr>
            <w:r>
              <w:rPr>
                <w:rFonts w:ascii="DIN-Regular" w:hAnsi="DIN-Regular"/>
                <w:color w:val="000000"/>
                <w:sz w:val="16"/>
              </w:rPr>
              <w:t>Structure de l’objectif</w:t>
            </w:r>
          </w:p>
        </w:tc>
        <w:tc>
          <w:tcPr>
            <w:tcW w:w="3236" w:type="pct"/>
          </w:tcPr>
          <w:p w14:paraId="53AF72F7" w14:textId="2BB33FBD" w:rsidR="00DF28C9" w:rsidRPr="009011B5" w:rsidRDefault="00D40138" w:rsidP="00913D3E">
            <w:pPr>
              <w:autoSpaceDE w:val="0"/>
              <w:autoSpaceDN w:val="0"/>
              <w:adjustRightInd w:val="0"/>
              <w:jc w:val="center"/>
              <w:rPr>
                <w:rFonts w:ascii="DIN-Regular" w:hAnsi="DIN-Regular" w:cs="Helv"/>
                <w:sz w:val="16"/>
                <w:szCs w:val="16"/>
              </w:rPr>
            </w:pPr>
            <w:r>
              <w:rPr>
                <w:rFonts w:ascii="DIN-Regular" w:hAnsi="DIN-Regular"/>
                <w:sz w:val="16"/>
              </w:rPr>
              <w:t>17 éléments en 11 groupes, 1 UHR, 2 ED, 2 UED</w:t>
            </w:r>
          </w:p>
        </w:tc>
      </w:tr>
      <w:tr w:rsidR="00DF28C9" w:rsidRPr="000E6156" w14:paraId="52B58F6C" w14:textId="77777777" w:rsidTr="00913D3E">
        <w:trPr>
          <w:trHeight w:val="189"/>
        </w:trPr>
        <w:tc>
          <w:tcPr>
            <w:tcW w:w="1764" w:type="pct"/>
            <w:noWrap/>
          </w:tcPr>
          <w:p w14:paraId="2CDBBF01" w14:textId="41A2B3FF" w:rsidR="00DF28C9" w:rsidRPr="009011B5" w:rsidRDefault="00D40138" w:rsidP="00913D3E">
            <w:pPr>
              <w:autoSpaceDE w:val="0"/>
              <w:autoSpaceDN w:val="0"/>
              <w:adjustRightInd w:val="0"/>
              <w:rPr>
                <w:rFonts w:ascii="DIN-Regular" w:hAnsi="DIN-Regular" w:cs="Helv"/>
                <w:color w:val="000000"/>
                <w:sz w:val="16"/>
                <w:szCs w:val="16"/>
              </w:rPr>
            </w:pPr>
            <w:r>
              <w:rPr>
                <w:rFonts w:ascii="DIN-Regular" w:hAnsi="DIN-Regular"/>
                <w:color w:val="000000"/>
                <w:sz w:val="16"/>
              </w:rPr>
              <w:t>Connecteur</w:t>
            </w:r>
          </w:p>
        </w:tc>
        <w:tc>
          <w:tcPr>
            <w:tcW w:w="3236" w:type="pct"/>
          </w:tcPr>
          <w:p w14:paraId="053B659B" w14:textId="47AC8CCF" w:rsidR="00DF28C9" w:rsidRPr="009011B5" w:rsidRDefault="00D40138" w:rsidP="00913D3E">
            <w:pPr>
              <w:autoSpaceDE w:val="0"/>
              <w:autoSpaceDN w:val="0"/>
              <w:adjustRightInd w:val="0"/>
              <w:jc w:val="center"/>
              <w:rPr>
                <w:rFonts w:ascii="DIN-Regular" w:hAnsi="DIN-Regular" w:cs="Helv"/>
                <w:sz w:val="16"/>
                <w:szCs w:val="16"/>
              </w:rPr>
            </w:pPr>
            <w:r>
              <w:rPr>
                <w:rFonts w:ascii="DIN-Regular" w:hAnsi="DIN-Regular"/>
                <w:sz w:val="16"/>
              </w:rPr>
              <w:t>Baïonnette L / Série S</w:t>
            </w:r>
          </w:p>
        </w:tc>
      </w:tr>
      <w:tr w:rsidR="00DF28C9" w:rsidRPr="000E6156" w14:paraId="7F5523F5" w14:textId="77777777" w:rsidTr="00913D3E">
        <w:trPr>
          <w:trHeight w:val="189"/>
        </w:trPr>
        <w:tc>
          <w:tcPr>
            <w:tcW w:w="1764" w:type="pct"/>
            <w:noWrap/>
          </w:tcPr>
          <w:p w14:paraId="1A4C1135" w14:textId="379DE40F" w:rsidR="00DF28C9" w:rsidRPr="009011B5" w:rsidRDefault="00D40138" w:rsidP="00913D3E">
            <w:pPr>
              <w:autoSpaceDE w:val="0"/>
              <w:autoSpaceDN w:val="0"/>
              <w:adjustRightInd w:val="0"/>
              <w:rPr>
                <w:rFonts w:ascii="DIN-Regular" w:hAnsi="DIN-Regular" w:cs="Helv"/>
                <w:color w:val="000000"/>
                <w:sz w:val="16"/>
                <w:szCs w:val="16"/>
              </w:rPr>
            </w:pPr>
            <w:r>
              <w:rPr>
                <w:rFonts w:ascii="DIN-Regular" w:hAnsi="DIN-Regular"/>
                <w:color w:val="000000"/>
                <w:sz w:val="16"/>
              </w:rPr>
              <w:t>Focale</w:t>
            </w:r>
          </w:p>
        </w:tc>
        <w:tc>
          <w:tcPr>
            <w:tcW w:w="3236" w:type="pct"/>
          </w:tcPr>
          <w:p w14:paraId="733CD21A" w14:textId="226A3B34" w:rsidR="00DF28C9" w:rsidRPr="009011B5" w:rsidRDefault="00D40138" w:rsidP="00913D3E">
            <w:pPr>
              <w:autoSpaceDE w:val="0"/>
              <w:autoSpaceDN w:val="0"/>
              <w:adjustRightInd w:val="0"/>
              <w:jc w:val="center"/>
              <w:rPr>
                <w:rFonts w:ascii="DIN-Regular" w:hAnsi="DIN-Regular" w:cs="Helv"/>
                <w:sz w:val="16"/>
                <w:szCs w:val="16"/>
              </w:rPr>
            </w:pPr>
            <w:r>
              <w:rPr>
                <w:rFonts w:ascii="DIN-Regular" w:hAnsi="DIN-Regular"/>
                <w:sz w:val="16"/>
              </w:rPr>
              <w:t>70-300 mm</w:t>
            </w:r>
          </w:p>
        </w:tc>
      </w:tr>
      <w:tr w:rsidR="00DF28C9" w:rsidRPr="000E6156" w14:paraId="59AB43F9" w14:textId="77777777" w:rsidTr="00913D3E">
        <w:trPr>
          <w:trHeight w:val="189"/>
        </w:trPr>
        <w:tc>
          <w:tcPr>
            <w:tcW w:w="1764" w:type="pct"/>
            <w:noWrap/>
          </w:tcPr>
          <w:p w14:paraId="0051593B" w14:textId="7EB1CCB4" w:rsidR="00DF28C9" w:rsidRPr="009011B5" w:rsidRDefault="00D40138" w:rsidP="00913D3E">
            <w:pPr>
              <w:autoSpaceDE w:val="0"/>
              <w:autoSpaceDN w:val="0"/>
              <w:adjustRightInd w:val="0"/>
              <w:rPr>
                <w:rFonts w:ascii="DIN-Regular" w:hAnsi="DIN-Regular" w:cs="Helv"/>
                <w:color w:val="000000"/>
                <w:sz w:val="16"/>
                <w:szCs w:val="16"/>
              </w:rPr>
            </w:pPr>
            <w:r>
              <w:rPr>
                <w:rFonts w:ascii="DIN-Regular" w:hAnsi="DIN-Regular"/>
                <w:color w:val="000000"/>
                <w:sz w:val="16"/>
              </w:rPr>
              <w:t>Structure du diaphragme</w:t>
            </w:r>
          </w:p>
        </w:tc>
        <w:tc>
          <w:tcPr>
            <w:tcW w:w="3236" w:type="pct"/>
          </w:tcPr>
          <w:p w14:paraId="4BD8DD36" w14:textId="2AC5BB5E" w:rsidR="00DF28C9" w:rsidRPr="009011B5" w:rsidRDefault="00D40138" w:rsidP="00913D3E">
            <w:pPr>
              <w:autoSpaceDE w:val="0"/>
              <w:autoSpaceDN w:val="0"/>
              <w:adjustRightInd w:val="0"/>
              <w:jc w:val="center"/>
              <w:rPr>
                <w:rFonts w:ascii="DIN-Regular" w:hAnsi="DIN-Regular" w:cs="Helv"/>
                <w:sz w:val="16"/>
                <w:szCs w:val="16"/>
              </w:rPr>
            </w:pPr>
            <w:r>
              <w:rPr>
                <w:rFonts w:ascii="DIN-Regular" w:hAnsi="DIN-Regular"/>
                <w:sz w:val="16"/>
              </w:rPr>
              <w:t>11 lamelles</w:t>
            </w:r>
          </w:p>
        </w:tc>
      </w:tr>
      <w:tr w:rsidR="00DF28C9" w:rsidRPr="000E6156" w14:paraId="5E4AFCA4" w14:textId="77777777" w:rsidTr="00913D3E">
        <w:trPr>
          <w:trHeight w:val="189"/>
        </w:trPr>
        <w:tc>
          <w:tcPr>
            <w:tcW w:w="1764" w:type="pct"/>
            <w:noWrap/>
          </w:tcPr>
          <w:p w14:paraId="1A5B8A24" w14:textId="3907A173" w:rsidR="00DF28C9" w:rsidRPr="009011B5" w:rsidRDefault="00D40138" w:rsidP="00913D3E">
            <w:pPr>
              <w:autoSpaceDE w:val="0"/>
              <w:autoSpaceDN w:val="0"/>
              <w:adjustRightInd w:val="0"/>
              <w:rPr>
                <w:rFonts w:ascii="DIN-Regular" w:hAnsi="DIN-Regular" w:cs="Helv"/>
                <w:color w:val="000000"/>
                <w:sz w:val="16"/>
                <w:szCs w:val="16"/>
              </w:rPr>
            </w:pPr>
            <w:r>
              <w:rPr>
                <w:rFonts w:ascii="DIN-Regular" w:hAnsi="DIN-Regular"/>
                <w:color w:val="000000"/>
                <w:sz w:val="16"/>
              </w:rPr>
              <w:t>Stabilisateur d’image optique</w:t>
            </w:r>
          </w:p>
        </w:tc>
        <w:tc>
          <w:tcPr>
            <w:tcW w:w="3236" w:type="pct"/>
          </w:tcPr>
          <w:p w14:paraId="44CF4305" w14:textId="70EF636A" w:rsidR="00DF28C9" w:rsidRPr="009011B5" w:rsidRDefault="00D40138" w:rsidP="00913D3E">
            <w:pPr>
              <w:autoSpaceDE w:val="0"/>
              <w:autoSpaceDN w:val="0"/>
              <w:adjustRightInd w:val="0"/>
              <w:jc w:val="center"/>
              <w:rPr>
                <w:rFonts w:ascii="DIN-Regular" w:hAnsi="DIN-Regular" w:cs="Helv"/>
                <w:sz w:val="16"/>
                <w:szCs w:val="16"/>
              </w:rPr>
            </w:pPr>
            <w:r>
              <w:rPr>
                <w:rFonts w:ascii="DIN-Regular" w:hAnsi="DIN-Regular"/>
                <w:sz w:val="16"/>
              </w:rPr>
              <w:t>OIS, compatible Dual IS</w:t>
            </w:r>
          </w:p>
        </w:tc>
      </w:tr>
      <w:tr w:rsidR="00DF28C9" w:rsidRPr="000E6156" w14:paraId="03D14F67" w14:textId="77777777" w:rsidTr="00913D3E">
        <w:trPr>
          <w:trHeight w:val="189"/>
        </w:trPr>
        <w:tc>
          <w:tcPr>
            <w:tcW w:w="1764" w:type="pct"/>
            <w:noWrap/>
          </w:tcPr>
          <w:p w14:paraId="7DCB1A02" w14:textId="0551E81E" w:rsidR="00DF28C9" w:rsidRPr="009011B5" w:rsidRDefault="00D40138" w:rsidP="00913D3E">
            <w:pPr>
              <w:autoSpaceDE w:val="0"/>
              <w:autoSpaceDN w:val="0"/>
              <w:adjustRightInd w:val="0"/>
              <w:rPr>
                <w:rFonts w:ascii="DIN-Regular" w:hAnsi="DIN-Regular" w:cs="Helv"/>
                <w:color w:val="000000"/>
                <w:sz w:val="16"/>
                <w:szCs w:val="16"/>
              </w:rPr>
            </w:pPr>
            <w:r>
              <w:rPr>
                <w:rFonts w:ascii="DIN-Regular" w:hAnsi="DIN-Regular"/>
                <w:color w:val="000000"/>
                <w:sz w:val="16"/>
              </w:rPr>
              <w:t>Ouverture maximale</w:t>
            </w:r>
          </w:p>
        </w:tc>
        <w:tc>
          <w:tcPr>
            <w:tcW w:w="3236" w:type="pct"/>
          </w:tcPr>
          <w:p w14:paraId="73B1B749" w14:textId="32426ACA" w:rsidR="00DF28C9" w:rsidRPr="009011B5" w:rsidRDefault="00D40138" w:rsidP="00913D3E">
            <w:pPr>
              <w:autoSpaceDE w:val="0"/>
              <w:autoSpaceDN w:val="0"/>
              <w:adjustRightInd w:val="0"/>
              <w:jc w:val="center"/>
              <w:rPr>
                <w:rFonts w:ascii="DIN-Regular" w:hAnsi="DIN-Regular" w:cs="Helv"/>
                <w:sz w:val="16"/>
                <w:szCs w:val="16"/>
              </w:rPr>
            </w:pPr>
            <w:r>
              <w:rPr>
                <w:rFonts w:ascii="DIN-Regular" w:hAnsi="DIN-Regular"/>
                <w:sz w:val="16"/>
              </w:rPr>
              <w:t>F4.5-5.6</w:t>
            </w:r>
          </w:p>
        </w:tc>
      </w:tr>
      <w:tr w:rsidR="00DF28C9" w:rsidRPr="000E6156" w14:paraId="0A7FDB76" w14:textId="77777777" w:rsidTr="00913D3E">
        <w:trPr>
          <w:trHeight w:val="189"/>
        </w:trPr>
        <w:tc>
          <w:tcPr>
            <w:tcW w:w="1764" w:type="pct"/>
            <w:noWrap/>
          </w:tcPr>
          <w:p w14:paraId="0FDFDAD8" w14:textId="75B6EA92" w:rsidR="00DF28C9" w:rsidRPr="009011B5" w:rsidRDefault="00D40138" w:rsidP="00913D3E">
            <w:pPr>
              <w:autoSpaceDE w:val="0"/>
              <w:autoSpaceDN w:val="0"/>
              <w:adjustRightInd w:val="0"/>
              <w:rPr>
                <w:rFonts w:ascii="DIN-Regular" w:hAnsi="DIN-Regular" w:cs="Helv"/>
                <w:color w:val="000000"/>
                <w:sz w:val="16"/>
                <w:szCs w:val="16"/>
              </w:rPr>
            </w:pPr>
            <w:r>
              <w:rPr>
                <w:rFonts w:ascii="DIN-Regular" w:hAnsi="DIN-Regular"/>
                <w:color w:val="000000"/>
                <w:sz w:val="16"/>
              </w:rPr>
              <w:t>Ouverture minimale</w:t>
            </w:r>
          </w:p>
        </w:tc>
        <w:tc>
          <w:tcPr>
            <w:tcW w:w="3236" w:type="pct"/>
          </w:tcPr>
          <w:p w14:paraId="19DB3B55" w14:textId="0127DA53" w:rsidR="00DF28C9" w:rsidRPr="009011B5" w:rsidRDefault="00D40138" w:rsidP="00913D3E">
            <w:pPr>
              <w:autoSpaceDE w:val="0"/>
              <w:autoSpaceDN w:val="0"/>
              <w:adjustRightInd w:val="0"/>
              <w:jc w:val="center"/>
              <w:rPr>
                <w:rFonts w:ascii="DIN-Regular" w:hAnsi="DIN-Regular" w:cs="Helv"/>
                <w:sz w:val="16"/>
                <w:szCs w:val="16"/>
              </w:rPr>
            </w:pPr>
            <w:r>
              <w:rPr>
                <w:rFonts w:ascii="DIN-Regular" w:hAnsi="DIN-Regular"/>
                <w:sz w:val="16"/>
              </w:rPr>
              <w:t>F22</w:t>
            </w:r>
          </w:p>
        </w:tc>
      </w:tr>
      <w:tr w:rsidR="00DF28C9" w:rsidRPr="005A2447" w14:paraId="21AC65D6" w14:textId="77777777" w:rsidTr="00913D3E">
        <w:trPr>
          <w:trHeight w:val="189"/>
        </w:trPr>
        <w:tc>
          <w:tcPr>
            <w:tcW w:w="1764" w:type="pct"/>
            <w:noWrap/>
          </w:tcPr>
          <w:p w14:paraId="6612FE74" w14:textId="6DFC72A6" w:rsidR="00DF28C9" w:rsidRPr="009011B5" w:rsidRDefault="00D40138" w:rsidP="00913D3E">
            <w:pPr>
              <w:autoSpaceDE w:val="0"/>
              <w:autoSpaceDN w:val="0"/>
              <w:adjustRightInd w:val="0"/>
              <w:rPr>
                <w:rFonts w:ascii="DIN-Regular" w:hAnsi="DIN-Regular" w:cs="Helv"/>
                <w:color w:val="000000"/>
                <w:sz w:val="16"/>
                <w:szCs w:val="16"/>
              </w:rPr>
            </w:pPr>
            <w:r>
              <w:rPr>
                <w:rFonts w:ascii="DIN-Regular" w:hAnsi="DIN-Regular"/>
                <w:color w:val="000000"/>
                <w:sz w:val="16"/>
              </w:rPr>
              <w:t>Robustesse</w:t>
            </w:r>
          </w:p>
        </w:tc>
        <w:tc>
          <w:tcPr>
            <w:tcW w:w="3236" w:type="pct"/>
          </w:tcPr>
          <w:p w14:paraId="01B89803" w14:textId="4B7A004C" w:rsidR="00DF28C9" w:rsidRPr="009011B5" w:rsidRDefault="00D40138" w:rsidP="00913D3E">
            <w:pPr>
              <w:autoSpaceDE w:val="0"/>
              <w:autoSpaceDN w:val="0"/>
              <w:adjustRightInd w:val="0"/>
              <w:jc w:val="center"/>
              <w:rPr>
                <w:rFonts w:ascii="DIN-Regular" w:hAnsi="DIN-Regular" w:cs="Helv"/>
                <w:sz w:val="16"/>
                <w:szCs w:val="16"/>
              </w:rPr>
            </w:pPr>
            <w:r>
              <w:rPr>
                <w:rFonts w:ascii="DIN-Regular" w:hAnsi="DIN-Regular"/>
                <w:sz w:val="16"/>
              </w:rPr>
              <w:t>Résistant à la poussière et aux éclaboussures</w:t>
            </w:r>
          </w:p>
        </w:tc>
      </w:tr>
      <w:tr w:rsidR="00DF28C9" w:rsidRPr="00DD3335" w14:paraId="294C3879" w14:textId="77777777" w:rsidTr="00913D3E">
        <w:trPr>
          <w:trHeight w:val="189"/>
        </w:trPr>
        <w:tc>
          <w:tcPr>
            <w:tcW w:w="1764" w:type="pct"/>
            <w:noWrap/>
          </w:tcPr>
          <w:p w14:paraId="6DCB85CE" w14:textId="08C74125" w:rsidR="00DF28C9" w:rsidRPr="009011B5" w:rsidRDefault="00D40138" w:rsidP="00913D3E">
            <w:pPr>
              <w:autoSpaceDE w:val="0"/>
              <w:autoSpaceDN w:val="0"/>
              <w:adjustRightInd w:val="0"/>
              <w:rPr>
                <w:rFonts w:ascii="DIN-Regular" w:hAnsi="DIN-Regular" w:cs="Helv"/>
                <w:color w:val="000000"/>
                <w:sz w:val="16"/>
                <w:szCs w:val="16"/>
              </w:rPr>
            </w:pPr>
            <w:r>
              <w:rPr>
                <w:rFonts w:ascii="DIN-Regular" w:hAnsi="DIN-Regular"/>
                <w:color w:val="000000"/>
                <w:sz w:val="16"/>
              </w:rPr>
              <w:t>Température de service conseillée</w:t>
            </w:r>
          </w:p>
        </w:tc>
        <w:tc>
          <w:tcPr>
            <w:tcW w:w="3236" w:type="pct"/>
          </w:tcPr>
          <w:p w14:paraId="33D9101F" w14:textId="5F1ADF36" w:rsidR="00DF28C9" w:rsidRPr="009011B5" w:rsidRDefault="009011B5" w:rsidP="00913D3E">
            <w:pPr>
              <w:autoSpaceDE w:val="0"/>
              <w:autoSpaceDN w:val="0"/>
              <w:adjustRightInd w:val="0"/>
              <w:jc w:val="center"/>
              <w:rPr>
                <w:rFonts w:ascii="DIN-Regular" w:hAnsi="DIN-Regular" w:cs="Helv"/>
                <w:sz w:val="16"/>
                <w:szCs w:val="16"/>
              </w:rPr>
            </w:pPr>
            <w:r>
              <w:rPr>
                <w:rFonts w:ascii="DIN-Regular" w:hAnsi="DIN-Regular"/>
                <w:sz w:val="16"/>
              </w:rPr>
              <w:t>-10 °C à 40 °C</w:t>
            </w:r>
          </w:p>
        </w:tc>
      </w:tr>
      <w:tr w:rsidR="00DF28C9" w:rsidRPr="00AF1E1A" w14:paraId="48DE79F2" w14:textId="77777777" w:rsidTr="00913D3E">
        <w:trPr>
          <w:trHeight w:val="189"/>
        </w:trPr>
        <w:tc>
          <w:tcPr>
            <w:tcW w:w="1764" w:type="pct"/>
            <w:noWrap/>
          </w:tcPr>
          <w:p w14:paraId="6C1F512C" w14:textId="4269C020" w:rsidR="00DF28C9" w:rsidRPr="009011B5" w:rsidRDefault="00D40138" w:rsidP="00913D3E">
            <w:pPr>
              <w:autoSpaceDE w:val="0"/>
              <w:autoSpaceDN w:val="0"/>
              <w:adjustRightInd w:val="0"/>
              <w:rPr>
                <w:rFonts w:ascii="DIN-Regular" w:hAnsi="DIN-Regular" w:cs="Helv"/>
                <w:color w:val="000000"/>
                <w:sz w:val="16"/>
                <w:szCs w:val="16"/>
              </w:rPr>
            </w:pPr>
            <w:r>
              <w:rPr>
                <w:rFonts w:ascii="DIN-Regular" w:hAnsi="DIN-Regular"/>
                <w:color w:val="000000"/>
                <w:sz w:val="16"/>
              </w:rPr>
              <w:t>Distance minimale</w:t>
            </w:r>
          </w:p>
        </w:tc>
        <w:tc>
          <w:tcPr>
            <w:tcW w:w="3236" w:type="pct"/>
          </w:tcPr>
          <w:p w14:paraId="0879EF50" w14:textId="7265B1FA" w:rsidR="00DF28C9" w:rsidRPr="009011B5" w:rsidRDefault="009011B5" w:rsidP="00913D3E">
            <w:pPr>
              <w:autoSpaceDE w:val="0"/>
              <w:autoSpaceDN w:val="0"/>
              <w:adjustRightInd w:val="0"/>
              <w:jc w:val="center"/>
              <w:rPr>
                <w:rFonts w:ascii="DIN-Regular" w:hAnsi="DIN-Regular" w:cs="Helv"/>
                <w:sz w:val="16"/>
                <w:szCs w:val="16"/>
              </w:rPr>
            </w:pPr>
            <w:r>
              <w:rPr>
                <w:rFonts w:ascii="DIN-Regular" w:hAnsi="DIN-Regular"/>
                <w:sz w:val="16"/>
              </w:rPr>
              <w:t>0,54 m à 70 mm (0,74 m à 300 mm)</w:t>
            </w:r>
          </w:p>
        </w:tc>
      </w:tr>
      <w:tr w:rsidR="00DF28C9" w:rsidRPr="00DD3335" w14:paraId="55DF8357" w14:textId="77777777" w:rsidTr="00913D3E">
        <w:trPr>
          <w:trHeight w:val="189"/>
        </w:trPr>
        <w:tc>
          <w:tcPr>
            <w:tcW w:w="1764" w:type="pct"/>
            <w:noWrap/>
          </w:tcPr>
          <w:p w14:paraId="19F9275C" w14:textId="7B658CE9" w:rsidR="00DF28C9" w:rsidRPr="009011B5" w:rsidRDefault="00D40138" w:rsidP="00913D3E">
            <w:pPr>
              <w:autoSpaceDE w:val="0"/>
              <w:autoSpaceDN w:val="0"/>
              <w:adjustRightInd w:val="0"/>
              <w:rPr>
                <w:rFonts w:ascii="DIN-Regular" w:hAnsi="DIN-Regular" w:cs="Helv"/>
                <w:color w:val="000000"/>
                <w:sz w:val="16"/>
                <w:szCs w:val="16"/>
              </w:rPr>
            </w:pPr>
            <w:r>
              <w:rPr>
                <w:rFonts w:ascii="DIN-Regular" w:hAnsi="DIN-Regular"/>
                <w:color w:val="000000"/>
                <w:sz w:val="16"/>
              </w:rPr>
              <w:t>Grossissement</w:t>
            </w:r>
          </w:p>
        </w:tc>
        <w:tc>
          <w:tcPr>
            <w:tcW w:w="3236" w:type="pct"/>
          </w:tcPr>
          <w:p w14:paraId="0667C439" w14:textId="7033754C" w:rsidR="00DF28C9" w:rsidRPr="009011B5" w:rsidRDefault="009011B5" w:rsidP="00913D3E">
            <w:pPr>
              <w:autoSpaceDE w:val="0"/>
              <w:autoSpaceDN w:val="0"/>
              <w:adjustRightInd w:val="0"/>
              <w:jc w:val="center"/>
              <w:rPr>
                <w:rFonts w:ascii="DIN-Regular" w:hAnsi="DIN-Regular" w:cs="Helv"/>
                <w:sz w:val="16"/>
                <w:szCs w:val="16"/>
              </w:rPr>
            </w:pPr>
            <w:r>
              <w:rPr>
                <w:rFonts w:ascii="DIN-Regular" w:hAnsi="DIN-Regular"/>
                <w:sz w:val="16"/>
              </w:rPr>
              <w:t>max. 0,5 x</w:t>
            </w:r>
          </w:p>
        </w:tc>
      </w:tr>
      <w:tr w:rsidR="00DF28C9" w:rsidRPr="00DD3335" w14:paraId="58BFED1A" w14:textId="77777777" w:rsidTr="00913D3E">
        <w:trPr>
          <w:trHeight w:val="189"/>
        </w:trPr>
        <w:tc>
          <w:tcPr>
            <w:tcW w:w="1764" w:type="pct"/>
            <w:noWrap/>
          </w:tcPr>
          <w:p w14:paraId="7ABE8921" w14:textId="3F42DDB4" w:rsidR="00DF28C9" w:rsidRPr="009011B5" w:rsidRDefault="00D40138" w:rsidP="00913D3E">
            <w:pPr>
              <w:autoSpaceDE w:val="0"/>
              <w:autoSpaceDN w:val="0"/>
              <w:adjustRightInd w:val="0"/>
              <w:rPr>
                <w:rFonts w:ascii="DIN-Regular" w:hAnsi="DIN-Regular" w:cs="Helv"/>
                <w:color w:val="000000"/>
                <w:sz w:val="16"/>
                <w:szCs w:val="16"/>
              </w:rPr>
            </w:pPr>
            <w:r>
              <w:rPr>
                <w:rFonts w:ascii="DIN-Regular" w:hAnsi="DIN-Regular"/>
                <w:color w:val="000000"/>
                <w:sz w:val="16"/>
              </w:rPr>
              <w:t>Angle de vue diagonal</w:t>
            </w:r>
          </w:p>
        </w:tc>
        <w:tc>
          <w:tcPr>
            <w:tcW w:w="3236" w:type="pct"/>
          </w:tcPr>
          <w:p w14:paraId="7A9F9FBC" w14:textId="4D9074B8" w:rsidR="00DF28C9" w:rsidRPr="009011B5" w:rsidRDefault="009011B5" w:rsidP="00913D3E">
            <w:pPr>
              <w:autoSpaceDE w:val="0"/>
              <w:autoSpaceDN w:val="0"/>
              <w:adjustRightInd w:val="0"/>
              <w:jc w:val="center"/>
              <w:rPr>
                <w:rFonts w:ascii="DIN-Regular" w:hAnsi="DIN-Regular" w:cs="Helv"/>
                <w:sz w:val="16"/>
                <w:szCs w:val="16"/>
              </w:rPr>
            </w:pPr>
            <w:r>
              <w:rPr>
                <w:rFonts w:ascii="DIN-Regular" w:hAnsi="DIN-Regular"/>
                <w:sz w:val="16"/>
              </w:rPr>
              <w:t>34°(grand angle) – 8,3°(télé)</w:t>
            </w:r>
          </w:p>
        </w:tc>
      </w:tr>
      <w:tr w:rsidR="00DF28C9" w:rsidRPr="000E6156" w14:paraId="70454C80" w14:textId="77777777" w:rsidTr="00913D3E">
        <w:trPr>
          <w:trHeight w:val="189"/>
        </w:trPr>
        <w:tc>
          <w:tcPr>
            <w:tcW w:w="1764" w:type="pct"/>
            <w:noWrap/>
          </w:tcPr>
          <w:p w14:paraId="55F7D762" w14:textId="03401C75" w:rsidR="00DF28C9" w:rsidRPr="009011B5" w:rsidRDefault="00D40138" w:rsidP="00913D3E">
            <w:pPr>
              <w:autoSpaceDE w:val="0"/>
              <w:autoSpaceDN w:val="0"/>
              <w:adjustRightInd w:val="0"/>
              <w:rPr>
                <w:rFonts w:ascii="DIN-Regular" w:hAnsi="DIN-Regular" w:cs="Helv"/>
                <w:color w:val="000000"/>
                <w:sz w:val="16"/>
                <w:szCs w:val="16"/>
              </w:rPr>
            </w:pPr>
            <w:r>
              <w:rPr>
                <w:rFonts w:ascii="DIN-Regular" w:hAnsi="DIN-Regular"/>
                <w:color w:val="000000"/>
                <w:sz w:val="16"/>
              </w:rPr>
              <w:t>Diamètre du filtre</w:t>
            </w:r>
          </w:p>
        </w:tc>
        <w:tc>
          <w:tcPr>
            <w:tcW w:w="3236" w:type="pct"/>
          </w:tcPr>
          <w:p w14:paraId="200EBBBF" w14:textId="39DA83E0" w:rsidR="00DF28C9" w:rsidRPr="009011B5" w:rsidRDefault="009011B5" w:rsidP="00913D3E">
            <w:pPr>
              <w:autoSpaceDE w:val="0"/>
              <w:autoSpaceDN w:val="0"/>
              <w:adjustRightInd w:val="0"/>
              <w:jc w:val="center"/>
              <w:rPr>
                <w:rFonts w:ascii="DIN-Regular" w:hAnsi="DIN-Regular" w:cs="Helv"/>
                <w:sz w:val="16"/>
                <w:szCs w:val="16"/>
              </w:rPr>
            </w:pPr>
            <w:r>
              <w:rPr>
                <w:rFonts w:ascii="DIN-Regular" w:hAnsi="DIN-Regular"/>
                <w:sz w:val="16"/>
              </w:rPr>
              <w:t>77 mm</w:t>
            </w:r>
          </w:p>
        </w:tc>
      </w:tr>
      <w:tr w:rsidR="00DF28C9" w:rsidRPr="005A2447" w14:paraId="1C77A9B6" w14:textId="77777777" w:rsidTr="00913D3E">
        <w:trPr>
          <w:trHeight w:val="189"/>
        </w:trPr>
        <w:tc>
          <w:tcPr>
            <w:tcW w:w="1764" w:type="pct"/>
            <w:noWrap/>
          </w:tcPr>
          <w:p w14:paraId="2D94BA98" w14:textId="573C1645" w:rsidR="00D40138" w:rsidRPr="009011B5" w:rsidRDefault="00D40138" w:rsidP="00913D3E">
            <w:pPr>
              <w:autoSpaceDE w:val="0"/>
              <w:autoSpaceDN w:val="0"/>
              <w:adjustRightInd w:val="0"/>
              <w:rPr>
                <w:rFonts w:ascii="DIN-Regular" w:hAnsi="DIN-Regular" w:cs="Helv"/>
                <w:color w:val="000000"/>
                <w:sz w:val="16"/>
                <w:szCs w:val="16"/>
              </w:rPr>
            </w:pPr>
            <w:r>
              <w:rPr>
                <w:rFonts w:ascii="DIN-Regular" w:hAnsi="DIN-Regular"/>
                <w:color w:val="000000"/>
                <w:sz w:val="16"/>
              </w:rPr>
              <w:t>Diamètre maximal</w:t>
            </w:r>
          </w:p>
        </w:tc>
        <w:tc>
          <w:tcPr>
            <w:tcW w:w="3236" w:type="pct"/>
          </w:tcPr>
          <w:p w14:paraId="3DC728DE" w14:textId="372F30C8" w:rsidR="00DF28C9" w:rsidRPr="009011B5" w:rsidRDefault="009011B5" w:rsidP="00913D3E">
            <w:pPr>
              <w:autoSpaceDE w:val="0"/>
              <w:autoSpaceDN w:val="0"/>
              <w:adjustRightInd w:val="0"/>
              <w:jc w:val="center"/>
              <w:rPr>
                <w:rFonts w:ascii="DIN-Regular" w:hAnsi="DIN-Regular" w:cs="Helv"/>
                <w:sz w:val="16"/>
                <w:szCs w:val="16"/>
                <w:highlight w:val="yellow"/>
              </w:rPr>
            </w:pPr>
            <w:r>
              <w:rPr>
                <w:rFonts w:ascii="DIN-Regular" w:hAnsi="DIN-Regular"/>
                <w:sz w:val="16"/>
              </w:rPr>
              <w:t>84 mm</w:t>
            </w:r>
          </w:p>
        </w:tc>
      </w:tr>
      <w:tr w:rsidR="00D40138" w:rsidRPr="00AF1E1A" w14:paraId="672C2B4F" w14:textId="77777777" w:rsidTr="00913D3E">
        <w:trPr>
          <w:trHeight w:val="189"/>
        </w:trPr>
        <w:tc>
          <w:tcPr>
            <w:tcW w:w="1764" w:type="pct"/>
            <w:noWrap/>
          </w:tcPr>
          <w:p w14:paraId="6DBD326B" w14:textId="60716999" w:rsidR="00D40138" w:rsidRPr="009011B5" w:rsidRDefault="00D40138" w:rsidP="00913D3E">
            <w:pPr>
              <w:autoSpaceDE w:val="0"/>
              <w:autoSpaceDN w:val="0"/>
              <w:adjustRightInd w:val="0"/>
              <w:rPr>
                <w:rFonts w:ascii="DIN-Regular" w:hAnsi="DIN-Regular" w:cs="Helv"/>
                <w:color w:val="000000"/>
                <w:sz w:val="16"/>
                <w:szCs w:val="16"/>
              </w:rPr>
            </w:pPr>
            <w:r>
              <w:rPr>
                <w:rFonts w:ascii="DIN-Regular" w:hAnsi="DIN-Regular"/>
                <w:color w:val="000000"/>
                <w:sz w:val="16"/>
              </w:rPr>
              <w:t>Longueur</w:t>
            </w:r>
          </w:p>
        </w:tc>
        <w:tc>
          <w:tcPr>
            <w:tcW w:w="3236" w:type="pct"/>
          </w:tcPr>
          <w:p w14:paraId="0E44242B" w14:textId="266E1BF3" w:rsidR="00D40138" w:rsidRPr="009011B5" w:rsidRDefault="009011B5" w:rsidP="00913D3E">
            <w:pPr>
              <w:autoSpaceDE w:val="0"/>
              <w:autoSpaceDN w:val="0"/>
              <w:adjustRightInd w:val="0"/>
              <w:jc w:val="center"/>
              <w:rPr>
                <w:rFonts w:ascii="DIN-Regular" w:hAnsi="DIN-Regular" w:cs="Helv"/>
                <w:sz w:val="16"/>
                <w:szCs w:val="16"/>
              </w:rPr>
            </w:pPr>
            <w:r>
              <w:rPr>
                <w:rFonts w:ascii="DIN-Regular" w:hAnsi="DIN-Regular"/>
                <w:sz w:val="16"/>
              </w:rPr>
              <w:t>Env. 14,8 cm (bord avant jusqu’à surface d’appui de la baïonnette)</w:t>
            </w:r>
          </w:p>
        </w:tc>
      </w:tr>
      <w:tr w:rsidR="00D40138" w:rsidRPr="00AF1E1A" w14:paraId="43673BC8" w14:textId="77777777" w:rsidTr="00913D3E">
        <w:trPr>
          <w:trHeight w:val="189"/>
        </w:trPr>
        <w:tc>
          <w:tcPr>
            <w:tcW w:w="1764" w:type="pct"/>
            <w:noWrap/>
          </w:tcPr>
          <w:p w14:paraId="24865D8D" w14:textId="530F0BA1" w:rsidR="00D40138" w:rsidRPr="009011B5" w:rsidRDefault="00D40138" w:rsidP="00913D3E">
            <w:pPr>
              <w:autoSpaceDE w:val="0"/>
              <w:autoSpaceDN w:val="0"/>
              <w:adjustRightInd w:val="0"/>
              <w:rPr>
                <w:rFonts w:ascii="DIN-Regular" w:hAnsi="DIN-Regular" w:cs="Helv"/>
                <w:color w:val="000000"/>
                <w:sz w:val="16"/>
                <w:szCs w:val="16"/>
              </w:rPr>
            </w:pPr>
            <w:r>
              <w:rPr>
                <w:rFonts w:ascii="DIN-Regular" w:hAnsi="DIN-Regular"/>
                <w:color w:val="000000"/>
                <w:sz w:val="16"/>
              </w:rPr>
              <w:t>Poids</w:t>
            </w:r>
          </w:p>
        </w:tc>
        <w:tc>
          <w:tcPr>
            <w:tcW w:w="3236" w:type="pct"/>
          </w:tcPr>
          <w:p w14:paraId="51BFBA9F" w14:textId="3DC4A0ED" w:rsidR="00D40138" w:rsidRPr="009011B5" w:rsidRDefault="009011B5" w:rsidP="00913D3E">
            <w:pPr>
              <w:autoSpaceDE w:val="0"/>
              <w:autoSpaceDN w:val="0"/>
              <w:adjustRightInd w:val="0"/>
              <w:jc w:val="center"/>
              <w:rPr>
                <w:rFonts w:ascii="DIN-Regular" w:hAnsi="DIN-Regular" w:cs="Helv"/>
                <w:sz w:val="16"/>
                <w:szCs w:val="16"/>
              </w:rPr>
            </w:pPr>
            <w:r>
              <w:rPr>
                <w:rFonts w:ascii="DIN-Regular" w:hAnsi="DIN-Regular"/>
                <w:sz w:val="16"/>
              </w:rPr>
              <w:t>Env. 790 g (sans cache avant/arrière et pare-soleil)</w:t>
            </w:r>
          </w:p>
        </w:tc>
      </w:tr>
      <w:tr w:rsidR="00D40138" w:rsidRPr="005A2447" w14:paraId="4C9BCF44" w14:textId="77777777" w:rsidTr="00913D3E">
        <w:trPr>
          <w:trHeight w:val="189"/>
        </w:trPr>
        <w:tc>
          <w:tcPr>
            <w:tcW w:w="1764" w:type="pct"/>
            <w:noWrap/>
          </w:tcPr>
          <w:p w14:paraId="6A6D2F36" w14:textId="305F2F4F" w:rsidR="00D40138" w:rsidRPr="009011B5" w:rsidRDefault="00D40138" w:rsidP="00913D3E">
            <w:pPr>
              <w:autoSpaceDE w:val="0"/>
              <w:autoSpaceDN w:val="0"/>
              <w:adjustRightInd w:val="0"/>
              <w:rPr>
                <w:rFonts w:ascii="DIN-Regular" w:hAnsi="DIN-Regular" w:cs="Helv"/>
                <w:color w:val="000000"/>
                <w:sz w:val="16"/>
                <w:szCs w:val="16"/>
              </w:rPr>
            </w:pPr>
            <w:r>
              <w:rPr>
                <w:rFonts w:ascii="DIN-Regular" w:hAnsi="DIN-Regular"/>
                <w:color w:val="000000"/>
                <w:sz w:val="16"/>
              </w:rPr>
              <w:t>Accessoires fournis</w:t>
            </w:r>
          </w:p>
        </w:tc>
        <w:tc>
          <w:tcPr>
            <w:tcW w:w="3236" w:type="pct"/>
          </w:tcPr>
          <w:p w14:paraId="79B9165C" w14:textId="7C44B1CB" w:rsidR="00D40138" w:rsidRPr="009011B5" w:rsidRDefault="009011B5" w:rsidP="00913D3E">
            <w:pPr>
              <w:autoSpaceDE w:val="0"/>
              <w:autoSpaceDN w:val="0"/>
              <w:adjustRightInd w:val="0"/>
              <w:jc w:val="center"/>
              <w:rPr>
                <w:rFonts w:ascii="DIN-Regular" w:hAnsi="DIN-Regular" w:cs="Helv"/>
                <w:sz w:val="16"/>
                <w:szCs w:val="16"/>
              </w:rPr>
            </w:pPr>
            <w:r>
              <w:rPr>
                <w:rFonts w:ascii="DIN-Regular" w:hAnsi="DIN-Regular"/>
                <w:sz w:val="16"/>
              </w:rPr>
              <w:t>Pare-soleil, cache avant, cache arrière</w:t>
            </w:r>
          </w:p>
        </w:tc>
      </w:tr>
    </w:tbl>
    <w:p w14:paraId="2BD192B6" w14:textId="77777777" w:rsidR="00DD3335" w:rsidRDefault="00DD3335" w:rsidP="00D7152F">
      <w:pPr>
        <w:pStyle w:val="Copy"/>
        <w:spacing w:line="240" w:lineRule="auto"/>
        <w:ind w:right="-340"/>
        <w:contextualSpacing/>
        <w:rPr>
          <w:rFonts w:ascii="DIN-Regular" w:eastAsia="Times New Roman" w:hAnsi="DIN-Regular" w:cs="Helv"/>
          <w:color w:val="000000"/>
          <w:sz w:val="16"/>
          <w:vertAlign w:val="superscript"/>
          <w:lang w:eastAsia="en-US"/>
        </w:rPr>
      </w:pPr>
    </w:p>
    <w:p w14:paraId="6CD6B2D9" w14:textId="04536706" w:rsidR="00405CBB" w:rsidRPr="001221E0" w:rsidRDefault="00405CBB" w:rsidP="00D7152F">
      <w:pPr>
        <w:pStyle w:val="Copy"/>
        <w:spacing w:line="240" w:lineRule="auto"/>
        <w:ind w:right="-340"/>
        <w:contextualSpacing/>
        <w:rPr>
          <w:rFonts w:ascii="DIN-Regular" w:eastAsia="Times New Roman" w:hAnsi="DIN-Regular" w:cs="Helv"/>
          <w:color w:val="000000"/>
          <w:sz w:val="16"/>
          <w:vertAlign w:val="superscript"/>
        </w:rPr>
      </w:pPr>
      <w:r>
        <w:rPr>
          <w:rFonts w:ascii="DIN-Regular" w:hAnsi="DIN-Regular"/>
          <w:color w:val="000000"/>
          <w:sz w:val="16"/>
        </w:rPr>
        <w:lastRenderedPageBreak/>
        <w:t>1 La monture L ou «L-Mount» est une marque ou une marque déposée de Leica Camera AG.</w:t>
      </w:r>
    </w:p>
    <w:p w14:paraId="48362AB0" w14:textId="59A3B44E" w:rsidR="00D7152F" w:rsidRDefault="005F48C1" w:rsidP="00D7152F">
      <w:pPr>
        <w:pStyle w:val="Copy"/>
        <w:spacing w:line="240" w:lineRule="auto"/>
        <w:ind w:right="-340"/>
        <w:contextualSpacing/>
        <w:rPr>
          <w:rFonts w:ascii="DIN-Regular" w:hAnsi="DIN-Regular"/>
          <w:sz w:val="16"/>
          <w:szCs w:val="16"/>
        </w:rPr>
      </w:pPr>
      <w:r>
        <w:rPr>
          <w:rFonts w:ascii="DIN-Regular" w:hAnsi="DIN-Regular"/>
          <w:color w:val="000000"/>
          <w:sz w:val="16"/>
        </w:rPr>
        <w:t>2 Sur la base de la norme CIPA [anti-roulis/inclinaison : distance de mise au point f=300 mm avec LUMIX S5].</w:t>
      </w:r>
    </w:p>
    <w:p w14:paraId="685AB1EA" w14:textId="0DE30782" w:rsidR="005F48C1" w:rsidRPr="00405CBB" w:rsidRDefault="005F48C1" w:rsidP="005F48C1">
      <w:pPr>
        <w:pStyle w:val="Copy"/>
        <w:spacing w:line="240" w:lineRule="auto"/>
        <w:ind w:right="-340"/>
        <w:contextualSpacing/>
        <w:rPr>
          <w:rFonts w:ascii="DIN-Regular" w:eastAsia="Times New Roman" w:hAnsi="DIN-Regular" w:cs="Helv"/>
          <w:color w:val="000000"/>
          <w:sz w:val="16"/>
        </w:rPr>
      </w:pPr>
      <w:r>
        <w:rPr>
          <w:rFonts w:ascii="DIN-Regular" w:hAnsi="DIN-Regular"/>
          <w:color w:val="000000"/>
          <w:sz w:val="16"/>
        </w:rPr>
        <w:t>3</w:t>
      </w:r>
      <w:r>
        <w:t xml:space="preserve"> </w:t>
      </w:r>
      <w:r>
        <w:rPr>
          <w:rFonts w:ascii="DIN-Regular" w:hAnsi="DIN-Regular"/>
          <w:color w:val="000000"/>
          <w:sz w:val="16"/>
        </w:rPr>
        <w:t>Pour une focale de 70 mm/pour une focale de 300 mm</w:t>
      </w:r>
    </w:p>
    <w:p w14:paraId="3F4B9D47" w14:textId="64C7A2D7" w:rsidR="00D7152F" w:rsidRDefault="00046523" w:rsidP="00D7152F">
      <w:pPr>
        <w:pStyle w:val="Copy"/>
        <w:spacing w:line="240" w:lineRule="auto"/>
        <w:ind w:right="-340"/>
        <w:contextualSpacing/>
        <w:rPr>
          <w:rFonts w:ascii="DIN-Regular" w:eastAsia="Times New Roman" w:hAnsi="DIN-Regular" w:cs="Helv"/>
          <w:color w:val="000000"/>
          <w:sz w:val="16"/>
        </w:rPr>
      </w:pPr>
      <w:r>
        <w:rPr>
          <w:rFonts w:ascii="DIN-Regular" w:hAnsi="DIN-Regular"/>
          <w:color w:val="000000"/>
          <w:sz w:val="16"/>
        </w:rPr>
        <w:t>4</w:t>
      </w:r>
      <w:r>
        <w:rPr>
          <w:rFonts w:ascii="DIN-Regular" w:hAnsi="DIN-Regular"/>
          <w:sz w:val="16"/>
        </w:rPr>
        <w:t xml:space="preserve"> La mention «résistant à la poussière et aux éclaboussures» ne garantit pas l’absence de dommages en cas de contact direct de l’objectif avec l’eau ou la poussière.</w:t>
      </w:r>
    </w:p>
    <w:p w14:paraId="57C7F40A" w14:textId="77777777" w:rsidR="00C63426" w:rsidRPr="00A94D40" w:rsidRDefault="00C63426" w:rsidP="00D7152F">
      <w:pPr>
        <w:pStyle w:val="Copy"/>
        <w:spacing w:line="240" w:lineRule="auto"/>
        <w:ind w:right="-340"/>
        <w:contextualSpacing/>
        <w:rPr>
          <w:rFonts w:ascii="DIN-Regular" w:eastAsia="Times New Roman" w:hAnsi="DIN-Regular" w:cs="Helv"/>
          <w:color w:val="000000"/>
          <w:sz w:val="16"/>
          <w:lang w:eastAsia="en-US"/>
        </w:rPr>
      </w:pPr>
    </w:p>
    <w:p w14:paraId="61106F69" w14:textId="2CEA06C4" w:rsidR="00D7152F" w:rsidRPr="00A94D40" w:rsidRDefault="00D7152F" w:rsidP="00D7152F">
      <w:pPr>
        <w:pStyle w:val="Copy"/>
        <w:spacing w:line="240" w:lineRule="auto"/>
        <w:ind w:right="-340"/>
        <w:contextualSpacing/>
        <w:rPr>
          <w:rFonts w:ascii="DIN-Regular" w:eastAsia="Times New Roman" w:hAnsi="DIN-Regular" w:cs="Helv"/>
          <w:color w:val="000000"/>
          <w:sz w:val="16"/>
        </w:rPr>
      </w:pPr>
      <w:r>
        <w:rPr>
          <w:rFonts w:ascii="DIN-Regular" w:hAnsi="DIN-Regular"/>
          <w:color w:val="000000"/>
          <w:sz w:val="16"/>
        </w:rPr>
        <w:t>Le design et les spécifications peuvent faire l’objet de modifications sans préavis.</w:t>
      </w:r>
    </w:p>
    <w:p w14:paraId="4863079E" w14:textId="1A280115" w:rsidR="008E0C04" w:rsidRPr="00F346CB" w:rsidRDefault="008E0C04" w:rsidP="00556A03">
      <w:pPr>
        <w:autoSpaceDE w:val="0"/>
        <w:autoSpaceDN w:val="0"/>
        <w:adjustRightInd w:val="0"/>
        <w:rPr>
          <w:rFonts w:ascii="DIN-Regular" w:hAnsi="DIN-Regular" w:cs="Helv"/>
          <w:color w:val="000000"/>
          <w:sz w:val="20"/>
        </w:rPr>
      </w:pPr>
    </w:p>
    <w:p w14:paraId="48576F7D" w14:textId="77777777" w:rsidR="0047319E" w:rsidRPr="00F346CB" w:rsidRDefault="0047319E" w:rsidP="00B04AAE">
      <w:pPr>
        <w:ind w:right="13"/>
        <w:rPr>
          <w:rFonts w:ascii="DIN-Bold" w:hAnsi="DIN-Bold" w:cs="Arial"/>
          <w:color w:val="000000"/>
          <w:sz w:val="20"/>
        </w:rPr>
      </w:pPr>
    </w:p>
    <w:p w14:paraId="78613397" w14:textId="77777777" w:rsidR="001761D4" w:rsidRPr="00E411AF" w:rsidRDefault="001761D4" w:rsidP="001761D4">
      <w:pPr>
        <w:ind w:right="13"/>
        <w:rPr>
          <w:rFonts w:ascii="DIN-Bold" w:hAnsi="DIN-Bold" w:cs="Arial"/>
          <w:color w:val="000000"/>
          <w:sz w:val="20"/>
        </w:rPr>
      </w:pPr>
      <w:r>
        <w:rPr>
          <w:rFonts w:ascii="DIN-Bold" w:hAnsi="DIN-Bold"/>
          <w:color w:val="000000"/>
          <w:sz w:val="20"/>
        </w:rPr>
        <w:t>À propos de Panasonic:</w:t>
      </w:r>
    </w:p>
    <w:p w14:paraId="44051C5E" w14:textId="4989F4EB" w:rsidR="001761D4" w:rsidRPr="00E411AF" w:rsidRDefault="001761D4" w:rsidP="001761D4">
      <w:pPr>
        <w:pStyle w:val="Copy"/>
        <w:spacing w:line="240" w:lineRule="auto"/>
        <w:rPr>
          <w:rFonts w:ascii="DIN-Regular" w:hAnsi="DIN-Regular"/>
          <w:color w:val="0000FF"/>
          <w:u w:val="single"/>
        </w:rPr>
      </w:pPr>
      <w:r>
        <w:rPr>
          <w:rFonts w:ascii="DIN-Regular" w:hAnsi="DIN-Regular"/>
        </w:rPr>
        <w:t>Panasonic Corporation est un leader mondial dans le développement et la production de diverses technologies et solutions électroniques dans</w:t>
      </w:r>
      <w:r>
        <w:rPr>
          <w:rFonts w:ascii="Calibri" w:hAnsi="Calibri"/>
        </w:rPr>
        <w:t xml:space="preserve"> </w:t>
      </w:r>
      <w:r>
        <w:rPr>
          <w:rFonts w:ascii="DIN-Regular" w:hAnsi="DIN-Regular"/>
        </w:rPr>
        <w:t xml:space="preserve">les domaines de l’électronique grand public, l’électroménager, l’automobile et la vente aux entreprises. Le groupe a fêté son centenaire en 2018. Panasonic s’est développée à l’échelle mondiale et exploite actuellement 582 filiales et 87 participations à des entreprises à travers le monde. Le groupe a enregistré un chiffre d’affaires net consolidé de 62,52 milliards d’euros au cours de l’exercice précédent (clos le 31 mars 2019). Déterminée à produire de la valeur ajoutée en innovant dans tous les secteurs de son industrie, la société utilise son savoir-faire afin de créer une vie et un monde meilleurs pour ses clients. Des informations complémentaires sur l’entreprise et sur la marque Panasonic sont disponibles sur </w:t>
      </w:r>
      <w:hyperlink r:id="rId11" w:history="1">
        <w:r>
          <w:rPr>
            <w:rStyle w:val="Hyperlink"/>
            <w:rFonts w:ascii="DIN-Regular" w:hAnsi="DIN-Regular"/>
          </w:rPr>
          <w:t>www.panasonic.com/global/home.html</w:t>
        </w:r>
      </w:hyperlink>
      <w:r>
        <w:rPr>
          <w:rFonts w:ascii="DIN-Regular" w:hAnsi="DIN-Regular"/>
        </w:rPr>
        <w:t xml:space="preserve"> et </w:t>
      </w:r>
      <w:hyperlink r:id="rId12" w:history="1">
        <w:r>
          <w:rPr>
            <w:rStyle w:val="Hyperlink"/>
            <w:rFonts w:ascii="DIN-Regular" w:hAnsi="DIN-Regular"/>
          </w:rPr>
          <w:t>www.experience.panasonic.ch/</w:t>
        </w:r>
      </w:hyperlink>
      <w:r>
        <w:rPr>
          <w:rFonts w:ascii="DIN-Regular" w:hAnsi="DIN-Regular"/>
          <w:color w:val="0000FF"/>
          <w:u w:val="single"/>
        </w:rPr>
        <w:t>.</w:t>
      </w:r>
    </w:p>
    <w:p w14:paraId="131E2D60" w14:textId="77777777" w:rsidR="001761D4" w:rsidRPr="00F346CB" w:rsidRDefault="001761D4" w:rsidP="001761D4">
      <w:pPr>
        <w:pStyle w:val="Copy"/>
        <w:spacing w:line="240" w:lineRule="auto"/>
        <w:rPr>
          <w:rFonts w:ascii="DIN-Regular" w:hAnsi="DIN-Regular"/>
          <w:color w:val="0000FF"/>
          <w:u w:val="single"/>
        </w:rPr>
      </w:pPr>
    </w:p>
    <w:p w14:paraId="07BF6C95" w14:textId="77777777" w:rsidR="001761D4" w:rsidRPr="00E411AF" w:rsidRDefault="001761D4" w:rsidP="001761D4">
      <w:pPr>
        <w:pStyle w:val="Copy"/>
        <w:spacing w:line="240" w:lineRule="auto"/>
        <w:rPr>
          <w:rFonts w:ascii="DIN-Regular" w:hAnsi="DIN-Regular"/>
        </w:rPr>
      </w:pPr>
    </w:p>
    <w:p w14:paraId="55B54627" w14:textId="77777777" w:rsidR="001761D4" w:rsidRPr="00E411AF" w:rsidRDefault="001761D4" w:rsidP="001761D4">
      <w:pPr>
        <w:pStyle w:val="Copy"/>
        <w:keepNext/>
        <w:keepLines/>
        <w:spacing w:line="240" w:lineRule="auto"/>
        <w:ind w:right="13"/>
        <w:rPr>
          <w:rFonts w:ascii="DIN-Bold" w:eastAsia="Times New Roman" w:hAnsi="DIN-Bold"/>
        </w:rPr>
      </w:pPr>
      <w:r>
        <w:rPr>
          <w:rFonts w:ascii="DIN-Bold" w:hAnsi="DIN-Bold"/>
        </w:rPr>
        <w:t>Informations complémentaires:</w:t>
      </w:r>
    </w:p>
    <w:p w14:paraId="16244802" w14:textId="4C85A4E0" w:rsidR="00B04AAE" w:rsidRPr="001761D4" w:rsidRDefault="001761D4" w:rsidP="001761D4">
      <w:pPr>
        <w:keepNext/>
        <w:keepLines/>
        <w:spacing w:after="120"/>
        <w:ind w:right="-340"/>
        <w:rPr>
          <w:rFonts w:ascii="DIN-Regular" w:hAnsi="DIN-Regular" w:cs="Arial"/>
          <w:sz w:val="20"/>
        </w:rPr>
      </w:pPr>
      <w:r>
        <w:rPr>
          <w:rFonts w:ascii="DIN-Regular" w:hAnsi="DIN-Regular"/>
          <w:sz w:val="20"/>
        </w:rPr>
        <w:t>Panasonic Suisse</w:t>
      </w:r>
      <w:r>
        <w:rPr>
          <w:rFonts w:ascii="DIN-Regular" w:hAnsi="DIN-Regular"/>
          <w:sz w:val="20"/>
        </w:rPr>
        <w:br/>
        <w:t>Une division de Panasonic Marketing Europe GmbH</w:t>
      </w:r>
      <w:r>
        <w:rPr>
          <w:rFonts w:ascii="DIN-Regular" w:hAnsi="DIN-Regular"/>
          <w:sz w:val="20"/>
        </w:rPr>
        <w:br/>
      </w:r>
      <w:proofErr w:type="spellStart"/>
      <w:r>
        <w:rPr>
          <w:rFonts w:ascii="DIN-Regular" w:hAnsi="DIN-Regular"/>
          <w:sz w:val="20"/>
        </w:rPr>
        <w:t>Grundstrasse</w:t>
      </w:r>
      <w:proofErr w:type="spellEnd"/>
      <w:r>
        <w:rPr>
          <w:rFonts w:ascii="DIN-Regular" w:hAnsi="DIN-Regular"/>
          <w:sz w:val="20"/>
        </w:rPr>
        <w:t> 12</w:t>
      </w:r>
      <w:r>
        <w:rPr>
          <w:rFonts w:ascii="DIN-Regular" w:hAnsi="DIN-Regular"/>
          <w:sz w:val="20"/>
        </w:rPr>
        <w:br/>
        <w:t xml:space="preserve">6343 </w:t>
      </w:r>
      <w:proofErr w:type="spellStart"/>
      <w:r>
        <w:rPr>
          <w:rFonts w:ascii="DIN-Regular" w:hAnsi="DIN-Regular"/>
          <w:sz w:val="20"/>
        </w:rPr>
        <w:t>Rotkreuz</w:t>
      </w:r>
      <w:proofErr w:type="spellEnd"/>
      <w:r>
        <w:rPr>
          <w:rFonts w:ascii="DIN-Regular" w:hAnsi="DIN-Regular"/>
          <w:sz w:val="20"/>
        </w:rPr>
        <w:br/>
      </w:r>
      <w:r>
        <w:rPr>
          <w:rFonts w:ascii="DIN-Regular" w:hAnsi="DIN-Regular"/>
          <w:sz w:val="20"/>
        </w:rPr>
        <w:br/>
      </w:r>
      <w:r>
        <w:rPr>
          <w:rFonts w:ascii="DIN-Bold" w:hAnsi="DIN-Bold"/>
          <w:sz w:val="20"/>
        </w:rPr>
        <w:t>Contact presse:</w:t>
      </w:r>
      <w:r>
        <w:rPr>
          <w:rFonts w:ascii="DIN-Regular" w:hAnsi="DIN-Regular"/>
          <w:sz w:val="20"/>
        </w:rPr>
        <w:br/>
        <w:t>Stephanie Meile</w:t>
      </w:r>
      <w:r>
        <w:rPr>
          <w:rFonts w:ascii="DIN-Regular" w:hAnsi="DIN-Regular"/>
        </w:rPr>
        <w:br/>
      </w:r>
      <w:r>
        <w:rPr>
          <w:rFonts w:ascii="DIN-Regular" w:hAnsi="DIN-Regular"/>
          <w:sz w:val="20"/>
        </w:rPr>
        <w:t>Tél.: 041 203 20 20</w:t>
      </w:r>
      <w:r>
        <w:rPr>
          <w:rFonts w:ascii="DIN-Regular" w:hAnsi="DIN-Regular"/>
        </w:rPr>
        <w:br/>
      </w:r>
      <w:r>
        <w:rPr>
          <w:rFonts w:ascii="DIN-Regular" w:hAnsi="DIN-Regular"/>
          <w:sz w:val="20"/>
        </w:rPr>
        <w:t xml:space="preserve">E-mail: </w:t>
      </w:r>
      <w:hyperlink r:id="rId13" w:history="1">
        <w:r>
          <w:rPr>
            <w:rStyle w:val="Hyperlink"/>
            <w:rFonts w:ascii="DIN-Regular" w:hAnsi="DIN-Regular"/>
            <w:sz w:val="20"/>
          </w:rPr>
          <w:t>panasonic.ch@eu.panasonic.com</w:t>
        </w:r>
      </w:hyperlink>
    </w:p>
    <w:sectPr w:rsidR="00B04AAE" w:rsidRPr="001761D4" w:rsidSect="00857C83">
      <w:headerReference w:type="even" r:id="rId14"/>
      <w:headerReference w:type="default" r:id="rId15"/>
      <w:footerReference w:type="even" r:id="rId16"/>
      <w:footerReference w:type="default" r:id="rId17"/>
      <w:headerReference w:type="first" r:id="rId18"/>
      <w:footerReference w:type="first" r:id="rId19"/>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F8AE2" w14:textId="77777777" w:rsidR="00893E6C" w:rsidRDefault="00893E6C">
      <w:r>
        <w:separator/>
      </w:r>
    </w:p>
  </w:endnote>
  <w:endnote w:type="continuationSeparator" w:id="0">
    <w:p w14:paraId="3A0828A3" w14:textId="77777777" w:rsidR="00893E6C" w:rsidRDefault="00893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Medium">
    <w:altName w:val="Calibri"/>
    <w:charset w:val="00"/>
    <w:family w:val="auto"/>
    <w:pitch w:val="variable"/>
    <w:sig w:usb0="80000027" w:usb1="00000000" w:usb2="00000000" w:usb3="00000000" w:csb0="00000001" w:csb1="00000000"/>
  </w:font>
  <w:font w:name="DIN-Regular">
    <w:altName w:val="Calibri"/>
    <w:charset w:val="00"/>
    <w:family w:val="auto"/>
    <w:pitch w:val="variable"/>
    <w:sig w:usb0="80000027"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DIN-Bold">
    <w:altName w:val="Calibri"/>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venir Next Regular">
    <w:altName w:val="Avenir Next"/>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DIN-Black">
    <w:altName w:val="Calibri"/>
    <w:charset w:val="00"/>
    <w:family w:val="auto"/>
    <w:pitch w:val="variable"/>
    <w:sig w:usb0="80000027"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
    <w:panose1 w:val="020B0604020202030204"/>
    <w:charset w:val="4D"/>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7854A" w14:textId="77777777" w:rsidR="00F346CB" w:rsidRDefault="00F346C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1DCDC" w14:textId="1C1BE3EA" w:rsidR="001761D4" w:rsidRDefault="001761D4" w:rsidP="001761D4">
    <w:pPr>
      <w:tabs>
        <w:tab w:val="center" w:pos="4962"/>
      </w:tabs>
      <w:ind w:right="-3175" w:firstLine="1440"/>
      <w:rPr>
        <w:rFonts w:ascii="DIN-Regular" w:hAnsi="DIN-Regular"/>
        <w:sz w:val="17"/>
      </w:rPr>
    </w:pPr>
    <w:r>
      <w:rPr>
        <w:rFonts w:ascii="DIN-Regular" w:hAnsi="DIN-Regular"/>
        <w:color w:val="000000"/>
        <w:sz w:val="17"/>
      </w:rPr>
      <w:tab/>
      <w:t>Panasonic Suisse – une succursale de Panasonic Marketing Europe GmbH</w:t>
    </w:r>
  </w:p>
  <w:p w14:paraId="2E52B046" w14:textId="77777777" w:rsidR="001761D4" w:rsidRDefault="001761D4" w:rsidP="001761D4">
    <w:pPr>
      <w:ind w:left="2880" w:right="-3033" w:firstLine="720"/>
      <w:rPr>
        <w:rFonts w:ascii="DIN-Regular" w:hAnsi="DIN-Regular"/>
        <w:sz w:val="17"/>
      </w:rPr>
    </w:pPr>
    <w:proofErr w:type="spellStart"/>
    <w:r>
      <w:rPr>
        <w:rFonts w:ascii="DIN-Regular" w:hAnsi="DIN-Regular"/>
        <w:color w:val="000000"/>
        <w:sz w:val="17"/>
      </w:rPr>
      <w:t>Grundstrasse</w:t>
    </w:r>
    <w:proofErr w:type="spellEnd"/>
    <w:r>
      <w:rPr>
        <w:rFonts w:ascii="DIN-Regular" w:hAnsi="DIN-Regular"/>
        <w:color w:val="000000"/>
        <w:sz w:val="17"/>
      </w:rPr>
      <w:t xml:space="preserve"> 12, CH-6343 </w:t>
    </w:r>
    <w:proofErr w:type="spellStart"/>
    <w:r>
      <w:rPr>
        <w:rFonts w:ascii="DIN-Regular" w:hAnsi="DIN-Regular"/>
        <w:color w:val="000000"/>
        <w:sz w:val="17"/>
      </w:rPr>
      <w:t>Rotkreuz</w:t>
    </w:r>
    <w:proofErr w:type="spellEnd"/>
    <w:r>
      <w:rPr>
        <w:rFonts w:ascii="DIN-Regular" w:hAnsi="DIN-Regular"/>
        <w:color w:val="000000"/>
        <w:sz w:val="17"/>
      </w:rPr>
      <w:t xml:space="preserve"> (ZG)</w:t>
    </w:r>
  </w:p>
  <w:p w14:paraId="6FDA0B1E" w14:textId="052855DD" w:rsidR="005A2447" w:rsidRPr="00C63426" w:rsidRDefault="00E565D1" w:rsidP="001761D4">
    <w:pPr>
      <w:ind w:right="-3033"/>
      <w:rPr>
        <w:rFonts w:ascii="DIN-Regular" w:hAnsi="DIN-Regular"/>
        <w:color w:val="0000FF"/>
        <w:sz w:val="17"/>
        <w:u w:val="single"/>
      </w:rPr>
    </w:pPr>
    <w:r>
      <w:rPr>
        <w:rFonts w:ascii="DIN-Regular" w:hAnsi="DIN-Regular"/>
        <w:noProof/>
        <w:sz w:val="20"/>
        <w:lang w:val="de-CH" w:eastAsia="de-CH"/>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r>
    <w:r w:rsidR="00416E4A">
      <w:rPr>
        <w:rFonts w:ascii="DIN-Regular" w:hAnsi="DIN-Regular"/>
        <w:sz w:val="17"/>
      </w:rPr>
      <w:t xml:space="preserve"> </w:t>
    </w:r>
    <w:r>
      <w:rPr>
        <w:rFonts w:ascii="DIN-Regular" w:hAnsi="DIN-Regular"/>
        <w:sz w:val="17"/>
      </w:rPr>
      <w:t xml:space="preserve"> </w:t>
    </w:r>
  </w:p>
  <w:p w14:paraId="46B62F2B" w14:textId="77777777" w:rsidR="00AB39F9" w:rsidRDefault="00AB39F9" w:rsidP="00215481">
    <w:pPr>
      <w:spacing w:line="200" w:lineRule="exact"/>
      <w:ind w:left="2880" w:right="85" w:hanging="753"/>
      <w:jc w:val="center"/>
      <w:rPr>
        <w:sz w:val="17"/>
        <w:lang w:val="de-DE"/>
      </w:rPr>
    </w:pPr>
  </w:p>
  <w:p w14:paraId="563C6FD8" w14:textId="6B3337B0" w:rsidR="00AB39F9" w:rsidRPr="00215481" w:rsidRDefault="00AB39F9" w:rsidP="00215481">
    <w:pPr>
      <w:spacing w:line="200" w:lineRule="exact"/>
      <w:ind w:left="2880" w:right="85" w:hanging="753"/>
      <w:jc w:val="center"/>
      <w:rPr>
        <w:rFonts w:ascii="DIN-Regular" w:hAnsi="DIN-Regular"/>
        <w:sz w:val="17"/>
      </w:rPr>
    </w:pPr>
    <w:r>
      <w:rPr>
        <w:sz w:val="17"/>
      </w:rPr>
      <w:fldChar w:fldCharType="begin"/>
    </w:r>
    <w:r>
      <w:rPr>
        <w:rFonts w:ascii="DIN-Regular" w:hAnsi="DIN-Regular"/>
        <w:sz w:val="17"/>
      </w:rPr>
      <w:instrText xml:space="preserve"> </w:instrText>
    </w:r>
    <w:r w:rsidR="00E565D1">
      <w:rPr>
        <w:rFonts w:ascii="DIN-Regular" w:hAnsi="DIN-Regular"/>
        <w:sz w:val="17"/>
      </w:rPr>
      <w:instrText>PAGE</w:instrText>
    </w:r>
    <w:r>
      <w:rPr>
        <w:rFonts w:ascii="DIN-Regular" w:hAnsi="DIN-Regular"/>
        <w:sz w:val="17"/>
      </w:rPr>
      <w:instrText xml:space="preserve"> </w:instrText>
    </w:r>
    <w:r>
      <w:rPr>
        <w:sz w:val="17"/>
      </w:rPr>
      <w:fldChar w:fldCharType="separate"/>
    </w:r>
    <w:r w:rsidR="006D2BD7">
      <w:rPr>
        <w:rFonts w:ascii="DIN-Regular" w:hAnsi="DIN-Regular"/>
        <w:noProof/>
        <w:sz w:val="17"/>
      </w:rPr>
      <w:t>2</w:t>
    </w:r>
    <w:r>
      <w:rPr>
        <w:sz w:val="17"/>
      </w:rPr>
      <w:fldChar w:fldCharType="end"/>
    </w:r>
    <w:r>
      <w:rPr>
        <w:rFonts w:ascii="DIN-Regular" w:hAnsi="DIN-Regular"/>
        <w:sz w:val="17"/>
      </w:rPr>
      <w:t>/</w:t>
    </w:r>
    <w:r>
      <w:rPr>
        <w:sz w:val="17"/>
      </w:rPr>
      <w:fldChar w:fldCharType="begin"/>
    </w:r>
    <w:r>
      <w:rPr>
        <w:rFonts w:ascii="DIN-Regular" w:hAnsi="DIN-Regular"/>
        <w:sz w:val="17"/>
      </w:rPr>
      <w:instrText xml:space="preserve"> </w:instrText>
    </w:r>
    <w:r w:rsidR="00E565D1">
      <w:rPr>
        <w:rFonts w:ascii="DIN-Regular" w:hAnsi="DIN-Regular"/>
        <w:sz w:val="17"/>
      </w:rPr>
      <w:instrText>NUMPAGES</w:instrText>
    </w:r>
    <w:r>
      <w:rPr>
        <w:rFonts w:ascii="DIN-Regular" w:hAnsi="DIN-Regular"/>
        <w:sz w:val="17"/>
      </w:rPr>
      <w:instrText xml:space="preserve"> </w:instrText>
    </w:r>
    <w:r>
      <w:rPr>
        <w:sz w:val="17"/>
      </w:rPr>
      <w:fldChar w:fldCharType="separate"/>
    </w:r>
    <w:r w:rsidR="006D2BD7">
      <w:rPr>
        <w:rFonts w:ascii="DIN-Regular" w:hAnsi="DIN-Regular"/>
        <w:noProof/>
        <w:sz w:val="17"/>
      </w:rPr>
      <w:t>3</w:t>
    </w:r>
    <w:r>
      <w:rPr>
        <w:sz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53651" w14:textId="77777777" w:rsidR="00F346CB" w:rsidRDefault="00F346C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D02971" w14:textId="77777777" w:rsidR="00893E6C" w:rsidRDefault="00893E6C">
      <w:r>
        <w:separator/>
      </w:r>
    </w:p>
  </w:footnote>
  <w:footnote w:type="continuationSeparator" w:id="0">
    <w:p w14:paraId="765F3C35" w14:textId="77777777" w:rsidR="00893E6C" w:rsidRDefault="00893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41ACF" w14:textId="77777777" w:rsidR="00F346CB" w:rsidRDefault="00F346C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ABF47" w14:textId="77777777" w:rsidR="00AB39F9" w:rsidRPr="0060218C" w:rsidRDefault="00E565D1" w:rsidP="0060218C">
    <w:pPr>
      <w:pStyle w:val="Kopfzeile"/>
    </w:pPr>
    <w:r>
      <w:rPr>
        <w:noProof/>
        <w:lang w:val="de-CH" w:eastAsia="de-CH"/>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CB5D9" w14:textId="77777777" w:rsidR="00F346CB" w:rsidRDefault="00F346C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FE3"/>
    <w:rsid w:val="0000038F"/>
    <w:rsid w:val="00000714"/>
    <w:rsid w:val="00000E0F"/>
    <w:rsid w:val="00001447"/>
    <w:rsid w:val="000017BA"/>
    <w:rsid w:val="00001957"/>
    <w:rsid w:val="00002F8C"/>
    <w:rsid w:val="000044B7"/>
    <w:rsid w:val="0000456A"/>
    <w:rsid w:val="000056F7"/>
    <w:rsid w:val="00005C2D"/>
    <w:rsid w:val="0000640D"/>
    <w:rsid w:val="000067C9"/>
    <w:rsid w:val="00007530"/>
    <w:rsid w:val="00007536"/>
    <w:rsid w:val="00007827"/>
    <w:rsid w:val="00007912"/>
    <w:rsid w:val="00007C4C"/>
    <w:rsid w:val="0001016D"/>
    <w:rsid w:val="00010263"/>
    <w:rsid w:val="000103DD"/>
    <w:rsid w:val="000107A0"/>
    <w:rsid w:val="00010986"/>
    <w:rsid w:val="00010A7B"/>
    <w:rsid w:val="0001111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245"/>
    <w:rsid w:val="00030F02"/>
    <w:rsid w:val="000315C1"/>
    <w:rsid w:val="00032601"/>
    <w:rsid w:val="00032E23"/>
    <w:rsid w:val="000342D5"/>
    <w:rsid w:val="00035814"/>
    <w:rsid w:val="00035D17"/>
    <w:rsid w:val="0003683E"/>
    <w:rsid w:val="00036DFB"/>
    <w:rsid w:val="00036EAC"/>
    <w:rsid w:val="000377B9"/>
    <w:rsid w:val="0003796E"/>
    <w:rsid w:val="00040D99"/>
    <w:rsid w:val="00040F76"/>
    <w:rsid w:val="00041003"/>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6523"/>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0348"/>
    <w:rsid w:val="000612E3"/>
    <w:rsid w:val="00061674"/>
    <w:rsid w:val="00061B5B"/>
    <w:rsid w:val="00061BCE"/>
    <w:rsid w:val="00061FC2"/>
    <w:rsid w:val="00062316"/>
    <w:rsid w:val="00062493"/>
    <w:rsid w:val="00062591"/>
    <w:rsid w:val="00062FB7"/>
    <w:rsid w:val="00063D51"/>
    <w:rsid w:val="000662DF"/>
    <w:rsid w:val="000663CA"/>
    <w:rsid w:val="0006675B"/>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0ED3"/>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B33"/>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0E02"/>
    <w:rsid w:val="000C246C"/>
    <w:rsid w:val="000C299A"/>
    <w:rsid w:val="000C42AC"/>
    <w:rsid w:val="000C4736"/>
    <w:rsid w:val="000C4AB0"/>
    <w:rsid w:val="000C544B"/>
    <w:rsid w:val="000C6A14"/>
    <w:rsid w:val="000C6ACD"/>
    <w:rsid w:val="000C7A1C"/>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24"/>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5921"/>
    <w:rsid w:val="00106125"/>
    <w:rsid w:val="001062E4"/>
    <w:rsid w:val="00106C41"/>
    <w:rsid w:val="00106EC9"/>
    <w:rsid w:val="00107A65"/>
    <w:rsid w:val="00110630"/>
    <w:rsid w:val="0011097C"/>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17F23"/>
    <w:rsid w:val="00121EDD"/>
    <w:rsid w:val="001221E0"/>
    <w:rsid w:val="0012347A"/>
    <w:rsid w:val="0012459A"/>
    <w:rsid w:val="00124E1D"/>
    <w:rsid w:val="00124E27"/>
    <w:rsid w:val="00124E88"/>
    <w:rsid w:val="0012586E"/>
    <w:rsid w:val="00127664"/>
    <w:rsid w:val="00127A94"/>
    <w:rsid w:val="00130564"/>
    <w:rsid w:val="001308A0"/>
    <w:rsid w:val="0013144D"/>
    <w:rsid w:val="00131A09"/>
    <w:rsid w:val="00132A21"/>
    <w:rsid w:val="001339BC"/>
    <w:rsid w:val="00134DD0"/>
    <w:rsid w:val="0013669F"/>
    <w:rsid w:val="001401C6"/>
    <w:rsid w:val="00141633"/>
    <w:rsid w:val="00141810"/>
    <w:rsid w:val="00141BA1"/>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1C2F"/>
    <w:rsid w:val="00162015"/>
    <w:rsid w:val="001621B9"/>
    <w:rsid w:val="001628E2"/>
    <w:rsid w:val="00163140"/>
    <w:rsid w:val="00163A4A"/>
    <w:rsid w:val="00164425"/>
    <w:rsid w:val="00164B89"/>
    <w:rsid w:val="00164BF5"/>
    <w:rsid w:val="001657D9"/>
    <w:rsid w:val="001657ED"/>
    <w:rsid w:val="00166097"/>
    <w:rsid w:val="001663E1"/>
    <w:rsid w:val="0016655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1D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1A9D"/>
    <w:rsid w:val="00192093"/>
    <w:rsid w:val="0019222E"/>
    <w:rsid w:val="001923D2"/>
    <w:rsid w:val="00192481"/>
    <w:rsid w:val="00192580"/>
    <w:rsid w:val="00192F72"/>
    <w:rsid w:val="0019304F"/>
    <w:rsid w:val="0019317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30D"/>
    <w:rsid w:val="001A5551"/>
    <w:rsid w:val="001A5FEB"/>
    <w:rsid w:val="001A725C"/>
    <w:rsid w:val="001A750E"/>
    <w:rsid w:val="001A7E39"/>
    <w:rsid w:val="001B081C"/>
    <w:rsid w:val="001B1C31"/>
    <w:rsid w:val="001B1C52"/>
    <w:rsid w:val="001B1E5A"/>
    <w:rsid w:val="001B1E9E"/>
    <w:rsid w:val="001B1FEA"/>
    <w:rsid w:val="001B423E"/>
    <w:rsid w:val="001B4A11"/>
    <w:rsid w:val="001B52DC"/>
    <w:rsid w:val="001B5A00"/>
    <w:rsid w:val="001B60F2"/>
    <w:rsid w:val="001B639E"/>
    <w:rsid w:val="001B6666"/>
    <w:rsid w:val="001B6C02"/>
    <w:rsid w:val="001B6EBB"/>
    <w:rsid w:val="001B7424"/>
    <w:rsid w:val="001B7850"/>
    <w:rsid w:val="001C07F8"/>
    <w:rsid w:val="001C0B9B"/>
    <w:rsid w:val="001C0D33"/>
    <w:rsid w:val="001C0E52"/>
    <w:rsid w:val="001C12AD"/>
    <w:rsid w:val="001C1530"/>
    <w:rsid w:val="001C1B80"/>
    <w:rsid w:val="001C1E0C"/>
    <w:rsid w:val="001C23BA"/>
    <w:rsid w:val="001C28C7"/>
    <w:rsid w:val="001C2A9B"/>
    <w:rsid w:val="001C2C45"/>
    <w:rsid w:val="001C2D83"/>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275"/>
    <w:rsid w:val="001D7D8E"/>
    <w:rsid w:val="001E05E8"/>
    <w:rsid w:val="001E0D39"/>
    <w:rsid w:val="001E11D1"/>
    <w:rsid w:val="001E19E1"/>
    <w:rsid w:val="001E2318"/>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322"/>
    <w:rsid w:val="001F4776"/>
    <w:rsid w:val="001F4873"/>
    <w:rsid w:val="001F4933"/>
    <w:rsid w:val="001F50EE"/>
    <w:rsid w:val="001F62F6"/>
    <w:rsid w:val="001F6674"/>
    <w:rsid w:val="001F69E8"/>
    <w:rsid w:val="001F6C93"/>
    <w:rsid w:val="001F6D02"/>
    <w:rsid w:val="001F6F77"/>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7F8"/>
    <w:rsid w:val="00210C94"/>
    <w:rsid w:val="00210D7A"/>
    <w:rsid w:val="00211202"/>
    <w:rsid w:val="0021138D"/>
    <w:rsid w:val="002119B3"/>
    <w:rsid w:val="00211A0E"/>
    <w:rsid w:val="00213366"/>
    <w:rsid w:val="00213BA7"/>
    <w:rsid w:val="00214846"/>
    <w:rsid w:val="00214F0C"/>
    <w:rsid w:val="002151BB"/>
    <w:rsid w:val="00215481"/>
    <w:rsid w:val="002158E2"/>
    <w:rsid w:val="002164EA"/>
    <w:rsid w:val="00216AAE"/>
    <w:rsid w:val="002176A1"/>
    <w:rsid w:val="002177A7"/>
    <w:rsid w:val="00217A8B"/>
    <w:rsid w:val="0022015B"/>
    <w:rsid w:val="002202AE"/>
    <w:rsid w:val="002202DC"/>
    <w:rsid w:val="0022140D"/>
    <w:rsid w:val="0022283F"/>
    <w:rsid w:val="00222A1C"/>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75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77F"/>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7CD"/>
    <w:rsid w:val="00291C03"/>
    <w:rsid w:val="0029268E"/>
    <w:rsid w:val="00292763"/>
    <w:rsid w:val="0029369F"/>
    <w:rsid w:val="00293A31"/>
    <w:rsid w:val="00293AAE"/>
    <w:rsid w:val="00293BE6"/>
    <w:rsid w:val="00293E05"/>
    <w:rsid w:val="0029519E"/>
    <w:rsid w:val="00296FFB"/>
    <w:rsid w:val="00297628"/>
    <w:rsid w:val="00297786"/>
    <w:rsid w:val="002A0D93"/>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62A"/>
    <w:rsid w:val="002C764E"/>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4"/>
    <w:rsid w:val="002D602F"/>
    <w:rsid w:val="002D627A"/>
    <w:rsid w:val="002D68D7"/>
    <w:rsid w:val="002D6A5F"/>
    <w:rsid w:val="002D6C4A"/>
    <w:rsid w:val="002D7173"/>
    <w:rsid w:val="002D78FE"/>
    <w:rsid w:val="002D7C58"/>
    <w:rsid w:val="002D7FBB"/>
    <w:rsid w:val="002E08D3"/>
    <w:rsid w:val="002E0CD0"/>
    <w:rsid w:val="002E2096"/>
    <w:rsid w:val="002E2CA1"/>
    <w:rsid w:val="002E2EF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3BB"/>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00A0"/>
    <w:rsid w:val="003415C7"/>
    <w:rsid w:val="00341D71"/>
    <w:rsid w:val="003437B6"/>
    <w:rsid w:val="00343B1F"/>
    <w:rsid w:val="00343B8D"/>
    <w:rsid w:val="00343DA5"/>
    <w:rsid w:val="0034402C"/>
    <w:rsid w:val="00344518"/>
    <w:rsid w:val="003446BD"/>
    <w:rsid w:val="0034539C"/>
    <w:rsid w:val="0034590C"/>
    <w:rsid w:val="00345BB1"/>
    <w:rsid w:val="00345D20"/>
    <w:rsid w:val="00345E0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A60"/>
    <w:rsid w:val="00357F14"/>
    <w:rsid w:val="00360510"/>
    <w:rsid w:val="00360A0C"/>
    <w:rsid w:val="00361C64"/>
    <w:rsid w:val="003622F1"/>
    <w:rsid w:val="00362496"/>
    <w:rsid w:val="00363193"/>
    <w:rsid w:val="003631BA"/>
    <w:rsid w:val="003633DB"/>
    <w:rsid w:val="00363630"/>
    <w:rsid w:val="0036372A"/>
    <w:rsid w:val="0036434C"/>
    <w:rsid w:val="00364C63"/>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5BA1"/>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2BB"/>
    <w:rsid w:val="003948FD"/>
    <w:rsid w:val="00395266"/>
    <w:rsid w:val="003959D5"/>
    <w:rsid w:val="00395B11"/>
    <w:rsid w:val="00395ECC"/>
    <w:rsid w:val="00395FC8"/>
    <w:rsid w:val="003960D6"/>
    <w:rsid w:val="003A0723"/>
    <w:rsid w:val="003A08E1"/>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0FD1"/>
    <w:rsid w:val="003C11CF"/>
    <w:rsid w:val="003C12B9"/>
    <w:rsid w:val="003C1CF3"/>
    <w:rsid w:val="003C2647"/>
    <w:rsid w:val="003C2EC2"/>
    <w:rsid w:val="003C3514"/>
    <w:rsid w:val="003C3A0F"/>
    <w:rsid w:val="003C411E"/>
    <w:rsid w:val="003C485A"/>
    <w:rsid w:val="003C4C3C"/>
    <w:rsid w:val="003C4F27"/>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61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7AB"/>
    <w:rsid w:val="0040099A"/>
    <w:rsid w:val="00401534"/>
    <w:rsid w:val="004028A3"/>
    <w:rsid w:val="00402AF6"/>
    <w:rsid w:val="00403316"/>
    <w:rsid w:val="00403C97"/>
    <w:rsid w:val="00404148"/>
    <w:rsid w:val="00404DA5"/>
    <w:rsid w:val="0040517C"/>
    <w:rsid w:val="0040529F"/>
    <w:rsid w:val="004054CD"/>
    <w:rsid w:val="00405905"/>
    <w:rsid w:val="00405CBB"/>
    <w:rsid w:val="0040651F"/>
    <w:rsid w:val="00406F72"/>
    <w:rsid w:val="0041100D"/>
    <w:rsid w:val="00412503"/>
    <w:rsid w:val="00412BF3"/>
    <w:rsid w:val="00412F4E"/>
    <w:rsid w:val="004137F4"/>
    <w:rsid w:val="00413CD6"/>
    <w:rsid w:val="00414466"/>
    <w:rsid w:val="00414C89"/>
    <w:rsid w:val="00415C14"/>
    <w:rsid w:val="00416E4A"/>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4F32"/>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49"/>
    <w:rsid w:val="004528CF"/>
    <w:rsid w:val="00454636"/>
    <w:rsid w:val="00454FE7"/>
    <w:rsid w:val="0045585B"/>
    <w:rsid w:val="00455A80"/>
    <w:rsid w:val="00455B62"/>
    <w:rsid w:val="00455E11"/>
    <w:rsid w:val="0045625D"/>
    <w:rsid w:val="00456D5A"/>
    <w:rsid w:val="00456E1E"/>
    <w:rsid w:val="00457D6D"/>
    <w:rsid w:val="00457F46"/>
    <w:rsid w:val="00460C98"/>
    <w:rsid w:val="00461393"/>
    <w:rsid w:val="004625EB"/>
    <w:rsid w:val="00462992"/>
    <w:rsid w:val="00462B81"/>
    <w:rsid w:val="00462BAA"/>
    <w:rsid w:val="004638DD"/>
    <w:rsid w:val="0046500B"/>
    <w:rsid w:val="00465069"/>
    <w:rsid w:val="00465185"/>
    <w:rsid w:val="004666CA"/>
    <w:rsid w:val="004669F0"/>
    <w:rsid w:val="00466EDF"/>
    <w:rsid w:val="00466F2B"/>
    <w:rsid w:val="00466F36"/>
    <w:rsid w:val="00467538"/>
    <w:rsid w:val="00471743"/>
    <w:rsid w:val="004721D4"/>
    <w:rsid w:val="0047303F"/>
    <w:rsid w:val="0047319E"/>
    <w:rsid w:val="0047414B"/>
    <w:rsid w:val="004743CD"/>
    <w:rsid w:val="0047450C"/>
    <w:rsid w:val="00474F5A"/>
    <w:rsid w:val="00475169"/>
    <w:rsid w:val="004752C5"/>
    <w:rsid w:val="0047542E"/>
    <w:rsid w:val="004767FC"/>
    <w:rsid w:val="0047693E"/>
    <w:rsid w:val="00476F12"/>
    <w:rsid w:val="0047740B"/>
    <w:rsid w:val="004824BE"/>
    <w:rsid w:val="00482D45"/>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740"/>
    <w:rsid w:val="004A0943"/>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B60"/>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1DFA"/>
    <w:rsid w:val="004E233F"/>
    <w:rsid w:val="004E26C8"/>
    <w:rsid w:val="004E3A8C"/>
    <w:rsid w:val="004E402C"/>
    <w:rsid w:val="004E40E8"/>
    <w:rsid w:val="004E4A63"/>
    <w:rsid w:val="004E548A"/>
    <w:rsid w:val="004E54C4"/>
    <w:rsid w:val="004E6F07"/>
    <w:rsid w:val="004E750F"/>
    <w:rsid w:val="004E78F3"/>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9E1"/>
    <w:rsid w:val="004F7F94"/>
    <w:rsid w:val="00501138"/>
    <w:rsid w:val="00501FBD"/>
    <w:rsid w:val="00502978"/>
    <w:rsid w:val="00502A2A"/>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421"/>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24B8"/>
    <w:rsid w:val="00533CE1"/>
    <w:rsid w:val="005342C0"/>
    <w:rsid w:val="00534FF6"/>
    <w:rsid w:val="0053685F"/>
    <w:rsid w:val="00536D96"/>
    <w:rsid w:val="00536D98"/>
    <w:rsid w:val="00536F3B"/>
    <w:rsid w:val="00540128"/>
    <w:rsid w:val="005402BA"/>
    <w:rsid w:val="00540344"/>
    <w:rsid w:val="00540C68"/>
    <w:rsid w:val="005427A4"/>
    <w:rsid w:val="00543797"/>
    <w:rsid w:val="00544613"/>
    <w:rsid w:val="00544B01"/>
    <w:rsid w:val="00545AB5"/>
    <w:rsid w:val="005466D5"/>
    <w:rsid w:val="005479D7"/>
    <w:rsid w:val="0055060B"/>
    <w:rsid w:val="00550717"/>
    <w:rsid w:val="00550BD5"/>
    <w:rsid w:val="00551E46"/>
    <w:rsid w:val="005528EE"/>
    <w:rsid w:val="0055487D"/>
    <w:rsid w:val="00555976"/>
    <w:rsid w:val="005560CB"/>
    <w:rsid w:val="005565B2"/>
    <w:rsid w:val="005566BE"/>
    <w:rsid w:val="00556A03"/>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1CE8"/>
    <w:rsid w:val="00582084"/>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9E8"/>
    <w:rsid w:val="00596A13"/>
    <w:rsid w:val="00596CEE"/>
    <w:rsid w:val="00596E9D"/>
    <w:rsid w:val="00597801"/>
    <w:rsid w:val="00597803"/>
    <w:rsid w:val="005A0C0C"/>
    <w:rsid w:val="005A1016"/>
    <w:rsid w:val="005A10A5"/>
    <w:rsid w:val="005A18AC"/>
    <w:rsid w:val="005A18BA"/>
    <w:rsid w:val="005A2447"/>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0EEE"/>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AC9"/>
    <w:rsid w:val="005C3FD4"/>
    <w:rsid w:val="005C493A"/>
    <w:rsid w:val="005C5EDF"/>
    <w:rsid w:val="005C61EC"/>
    <w:rsid w:val="005C6746"/>
    <w:rsid w:val="005C6D72"/>
    <w:rsid w:val="005D0415"/>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6B8"/>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8C1"/>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494"/>
    <w:rsid w:val="006045CE"/>
    <w:rsid w:val="00604E12"/>
    <w:rsid w:val="00604F91"/>
    <w:rsid w:val="00605D42"/>
    <w:rsid w:val="0060623A"/>
    <w:rsid w:val="0060684D"/>
    <w:rsid w:val="00606A30"/>
    <w:rsid w:val="00606D1D"/>
    <w:rsid w:val="006070D8"/>
    <w:rsid w:val="00610007"/>
    <w:rsid w:val="0061020F"/>
    <w:rsid w:val="0061091F"/>
    <w:rsid w:val="0061135E"/>
    <w:rsid w:val="0061137B"/>
    <w:rsid w:val="006117EF"/>
    <w:rsid w:val="00611A7C"/>
    <w:rsid w:val="00611BBA"/>
    <w:rsid w:val="00612D63"/>
    <w:rsid w:val="00613089"/>
    <w:rsid w:val="00613631"/>
    <w:rsid w:val="0061414B"/>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064"/>
    <w:rsid w:val="0064610C"/>
    <w:rsid w:val="00646455"/>
    <w:rsid w:val="00646DCD"/>
    <w:rsid w:val="006474AD"/>
    <w:rsid w:val="0065077E"/>
    <w:rsid w:val="006509AF"/>
    <w:rsid w:val="00651702"/>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2D6C"/>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978"/>
    <w:rsid w:val="00686C0E"/>
    <w:rsid w:val="00686EE4"/>
    <w:rsid w:val="00687F32"/>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2C9E"/>
    <w:rsid w:val="006B2CE6"/>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BD7"/>
    <w:rsid w:val="006D2C9E"/>
    <w:rsid w:val="006D3A47"/>
    <w:rsid w:val="006D5820"/>
    <w:rsid w:val="006D5CF9"/>
    <w:rsid w:val="006D5F9C"/>
    <w:rsid w:val="006D6225"/>
    <w:rsid w:val="006D6711"/>
    <w:rsid w:val="006D7B4E"/>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65A"/>
    <w:rsid w:val="0071192D"/>
    <w:rsid w:val="007120EF"/>
    <w:rsid w:val="007122DA"/>
    <w:rsid w:val="00713587"/>
    <w:rsid w:val="00714059"/>
    <w:rsid w:val="007147DD"/>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37DC5"/>
    <w:rsid w:val="007401B4"/>
    <w:rsid w:val="007425F6"/>
    <w:rsid w:val="007427C1"/>
    <w:rsid w:val="00743120"/>
    <w:rsid w:val="007432F7"/>
    <w:rsid w:val="00743670"/>
    <w:rsid w:val="00743791"/>
    <w:rsid w:val="00743C9A"/>
    <w:rsid w:val="00743F75"/>
    <w:rsid w:val="00744003"/>
    <w:rsid w:val="0074414C"/>
    <w:rsid w:val="00744247"/>
    <w:rsid w:val="007443BF"/>
    <w:rsid w:val="00745D95"/>
    <w:rsid w:val="007466D4"/>
    <w:rsid w:val="00746814"/>
    <w:rsid w:val="00746891"/>
    <w:rsid w:val="007468A2"/>
    <w:rsid w:val="00746AD3"/>
    <w:rsid w:val="00747225"/>
    <w:rsid w:val="007478ED"/>
    <w:rsid w:val="00750390"/>
    <w:rsid w:val="007508B6"/>
    <w:rsid w:val="00751E23"/>
    <w:rsid w:val="00752564"/>
    <w:rsid w:val="007525CE"/>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480"/>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312"/>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030F"/>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5D7"/>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7E2"/>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6D9A"/>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5D73"/>
    <w:rsid w:val="00826022"/>
    <w:rsid w:val="008269B7"/>
    <w:rsid w:val="0082748B"/>
    <w:rsid w:val="00827EF9"/>
    <w:rsid w:val="00827F8D"/>
    <w:rsid w:val="00831147"/>
    <w:rsid w:val="008324C7"/>
    <w:rsid w:val="0083266F"/>
    <w:rsid w:val="0083298E"/>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19C"/>
    <w:rsid w:val="008564C2"/>
    <w:rsid w:val="00857BAA"/>
    <w:rsid w:val="00857C83"/>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4D96"/>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29"/>
    <w:rsid w:val="00885B89"/>
    <w:rsid w:val="00886A97"/>
    <w:rsid w:val="00887762"/>
    <w:rsid w:val="00887E2A"/>
    <w:rsid w:val="00890636"/>
    <w:rsid w:val="00890D08"/>
    <w:rsid w:val="00893E6C"/>
    <w:rsid w:val="00894558"/>
    <w:rsid w:val="00894F88"/>
    <w:rsid w:val="0089601B"/>
    <w:rsid w:val="0089605C"/>
    <w:rsid w:val="00896D36"/>
    <w:rsid w:val="008A01F5"/>
    <w:rsid w:val="008A0248"/>
    <w:rsid w:val="008A0989"/>
    <w:rsid w:val="008A0DE3"/>
    <w:rsid w:val="008A1493"/>
    <w:rsid w:val="008A1692"/>
    <w:rsid w:val="008A18E7"/>
    <w:rsid w:val="008A1A07"/>
    <w:rsid w:val="008A24DB"/>
    <w:rsid w:val="008A4070"/>
    <w:rsid w:val="008A4293"/>
    <w:rsid w:val="008A43C5"/>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4D69"/>
    <w:rsid w:val="008C51B4"/>
    <w:rsid w:val="008C56AB"/>
    <w:rsid w:val="008C5C6D"/>
    <w:rsid w:val="008C5C96"/>
    <w:rsid w:val="008C64EC"/>
    <w:rsid w:val="008D120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0C04"/>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04E"/>
    <w:rsid w:val="008F63BC"/>
    <w:rsid w:val="008F69D4"/>
    <w:rsid w:val="008F702B"/>
    <w:rsid w:val="00901043"/>
    <w:rsid w:val="00901048"/>
    <w:rsid w:val="009011B5"/>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6C3"/>
    <w:rsid w:val="00971F95"/>
    <w:rsid w:val="009721CE"/>
    <w:rsid w:val="00972298"/>
    <w:rsid w:val="00972B5C"/>
    <w:rsid w:val="00974131"/>
    <w:rsid w:val="0097482C"/>
    <w:rsid w:val="009758BC"/>
    <w:rsid w:val="009760AD"/>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498"/>
    <w:rsid w:val="00985943"/>
    <w:rsid w:val="00986317"/>
    <w:rsid w:val="00986907"/>
    <w:rsid w:val="00986FCC"/>
    <w:rsid w:val="00987301"/>
    <w:rsid w:val="0098778F"/>
    <w:rsid w:val="00987ED2"/>
    <w:rsid w:val="00990338"/>
    <w:rsid w:val="009903C2"/>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3BE2"/>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78A"/>
    <w:rsid w:val="00A26AEF"/>
    <w:rsid w:val="00A277E9"/>
    <w:rsid w:val="00A27EFF"/>
    <w:rsid w:val="00A30100"/>
    <w:rsid w:val="00A30279"/>
    <w:rsid w:val="00A30557"/>
    <w:rsid w:val="00A312E7"/>
    <w:rsid w:val="00A322B7"/>
    <w:rsid w:val="00A32756"/>
    <w:rsid w:val="00A3288C"/>
    <w:rsid w:val="00A32A0C"/>
    <w:rsid w:val="00A338D3"/>
    <w:rsid w:val="00A34119"/>
    <w:rsid w:val="00A34786"/>
    <w:rsid w:val="00A34A0C"/>
    <w:rsid w:val="00A3639A"/>
    <w:rsid w:val="00A36922"/>
    <w:rsid w:val="00A37A52"/>
    <w:rsid w:val="00A37E3A"/>
    <w:rsid w:val="00A41EE9"/>
    <w:rsid w:val="00A4253F"/>
    <w:rsid w:val="00A42747"/>
    <w:rsid w:val="00A42CE7"/>
    <w:rsid w:val="00A4364E"/>
    <w:rsid w:val="00A44640"/>
    <w:rsid w:val="00A44888"/>
    <w:rsid w:val="00A44BEC"/>
    <w:rsid w:val="00A45780"/>
    <w:rsid w:val="00A45E53"/>
    <w:rsid w:val="00A45EA3"/>
    <w:rsid w:val="00A45F87"/>
    <w:rsid w:val="00A463C2"/>
    <w:rsid w:val="00A46C3D"/>
    <w:rsid w:val="00A4743F"/>
    <w:rsid w:val="00A530C6"/>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6721B"/>
    <w:rsid w:val="00A67840"/>
    <w:rsid w:val="00A7091F"/>
    <w:rsid w:val="00A70CB0"/>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5072"/>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9B8"/>
    <w:rsid w:val="00AA0C2D"/>
    <w:rsid w:val="00AA0EB9"/>
    <w:rsid w:val="00AA0EF1"/>
    <w:rsid w:val="00AA0FF8"/>
    <w:rsid w:val="00AA2193"/>
    <w:rsid w:val="00AA21D1"/>
    <w:rsid w:val="00AA2B9C"/>
    <w:rsid w:val="00AA40CD"/>
    <w:rsid w:val="00AA508D"/>
    <w:rsid w:val="00AA50BF"/>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1B4"/>
    <w:rsid w:val="00AB44B3"/>
    <w:rsid w:val="00AB4803"/>
    <w:rsid w:val="00AB5722"/>
    <w:rsid w:val="00AB5DB9"/>
    <w:rsid w:val="00AB6248"/>
    <w:rsid w:val="00AB62B6"/>
    <w:rsid w:val="00AB6D18"/>
    <w:rsid w:val="00AB7B8E"/>
    <w:rsid w:val="00AB7C48"/>
    <w:rsid w:val="00AB7E30"/>
    <w:rsid w:val="00AC00A4"/>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A42"/>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81"/>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5C4E"/>
    <w:rsid w:val="00AE629C"/>
    <w:rsid w:val="00AE74A3"/>
    <w:rsid w:val="00AE7CAE"/>
    <w:rsid w:val="00AF1011"/>
    <w:rsid w:val="00AF1E1A"/>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AAE"/>
    <w:rsid w:val="00B04C79"/>
    <w:rsid w:val="00B04DEB"/>
    <w:rsid w:val="00B06156"/>
    <w:rsid w:val="00B06451"/>
    <w:rsid w:val="00B06872"/>
    <w:rsid w:val="00B068D4"/>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2228"/>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69F"/>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3FCD"/>
    <w:rsid w:val="00B845B9"/>
    <w:rsid w:val="00B848E8"/>
    <w:rsid w:val="00B85202"/>
    <w:rsid w:val="00B8575B"/>
    <w:rsid w:val="00B85B07"/>
    <w:rsid w:val="00B860C0"/>
    <w:rsid w:val="00B86318"/>
    <w:rsid w:val="00B86B42"/>
    <w:rsid w:val="00B86D16"/>
    <w:rsid w:val="00B87363"/>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978F6"/>
    <w:rsid w:val="00BA1680"/>
    <w:rsid w:val="00BA2378"/>
    <w:rsid w:val="00BA3192"/>
    <w:rsid w:val="00BA366C"/>
    <w:rsid w:val="00BA3BEE"/>
    <w:rsid w:val="00BA3C80"/>
    <w:rsid w:val="00BA42C9"/>
    <w:rsid w:val="00BA4485"/>
    <w:rsid w:val="00BA51B0"/>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30E"/>
    <w:rsid w:val="00BD159A"/>
    <w:rsid w:val="00BD1B7D"/>
    <w:rsid w:val="00BD2F1B"/>
    <w:rsid w:val="00BD3E92"/>
    <w:rsid w:val="00BD4032"/>
    <w:rsid w:val="00BD40DE"/>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AD"/>
    <w:rsid w:val="00C019FC"/>
    <w:rsid w:val="00C02C33"/>
    <w:rsid w:val="00C04983"/>
    <w:rsid w:val="00C04BDC"/>
    <w:rsid w:val="00C051B2"/>
    <w:rsid w:val="00C06212"/>
    <w:rsid w:val="00C0633C"/>
    <w:rsid w:val="00C068BE"/>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103"/>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3B8"/>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3426"/>
    <w:rsid w:val="00C65123"/>
    <w:rsid w:val="00C65870"/>
    <w:rsid w:val="00C65967"/>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0CEA"/>
    <w:rsid w:val="00C817F8"/>
    <w:rsid w:val="00C81950"/>
    <w:rsid w:val="00C836CF"/>
    <w:rsid w:val="00C83EC6"/>
    <w:rsid w:val="00C85679"/>
    <w:rsid w:val="00C85A3B"/>
    <w:rsid w:val="00C86209"/>
    <w:rsid w:val="00C86482"/>
    <w:rsid w:val="00C86AC3"/>
    <w:rsid w:val="00C876BD"/>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B05"/>
    <w:rsid w:val="00CB1C30"/>
    <w:rsid w:val="00CB1EBE"/>
    <w:rsid w:val="00CB1EDB"/>
    <w:rsid w:val="00CB1FC6"/>
    <w:rsid w:val="00CB218D"/>
    <w:rsid w:val="00CB2411"/>
    <w:rsid w:val="00CB285E"/>
    <w:rsid w:val="00CB2F1B"/>
    <w:rsid w:val="00CB3218"/>
    <w:rsid w:val="00CB3514"/>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1DD7"/>
    <w:rsid w:val="00CD2743"/>
    <w:rsid w:val="00CD28E9"/>
    <w:rsid w:val="00CD2DEB"/>
    <w:rsid w:val="00CD418F"/>
    <w:rsid w:val="00CD4485"/>
    <w:rsid w:val="00CD4DDF"/>
    <w:rsid w:val="00CD5A30"/>
    <w:rsid w:val="00CD5A48"/>
    <w:rsid w:val="00CD677A"/>
    <w:rsid w:val="00CD716D"/>
    <w:rsid w:val="00CD74C5"/>
    <w:rsid w:val="00CD77D6"/>
    <w:rsid w:val="00CD7B57"/>
    <w:rsid w:val="00CD7C61"/>
    <w:rsid w:val="00CD7F03"/>
    <w:rsid w:val="00CE0E5A"/>
    <w:rsid w:val="00CE10FD"/>
    <w:rsid w:val="00CE13B2"/>
    <w:rsid w:val="00CE1408"/>
    <w:rsid w:val="00CE159F"/>
    <w:rsid w:val="00CE1C38"/>
    <w:rsid w:val="00CE35F6"/>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3AE"/>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138"/>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853"/>
    <w:rsid w:val="00D55CC8"/>
    <w:rsid w:val="00D560A2"/>
    <w:rsid w:val="00D56531"/>
    <w:rsid w:val="00D56E71"/>
    <w:rsid w:val="00D57180"/>
    <w:rsid w:val="00D57224"/>
    <w:rsid w:val="00D57AAD"/>
    <w:rsid w:val="00D57C3D"/>
    <w:rsid w:val="00D57FA2"/>
    <w:rsid w:val="00D604DA"/>
    <w:rsid w:val="00D60AAF"/>
    <w:rsid w:val="00D60BEB"/>
    <w:rsid w:val="00D61527"/>
    <w:rsid w:val="00D61EF4"/>
    <w:rsid w:val="00D61F93"/>
    <w:rsid w:val="00D623DC"/>
    <w:rsid w:val="00D62617"/>
    <w:rsid w:val="00D62929"/>
    <w:rsid w:val="00D630C1"/>
    <w:rsid w:val="00D633CE"/>
    <w:rsid w:val="00D64856"/>
    <w:rsid w:val="00D64CC7"/>
    <w:rsid w:val="00D653A8"/>
    <w:rsid w:val="00D653B5"/>
    <w:rsid w:val="00D6570B"/>
    <w:rsid w:val="00D661C5"/>
    <w:rsid w:val="00D664EA"/>
    <w:rsid w:val="00D6663B"/>
    <w:rsid w:val="00D666CB"/>
    <w:rsid w:val="00D66904"/>
    <w:rsid w:val="00D669DD"/>
    <w:rsid w:val="00D66C49"/>
    <w:rsid w:val="00D66DE2"/>
    <w:rsid w:val="00D66EF1"/>
    <w:rsid w:val="00D672DC"/>
    <w:rsid w:val="00D6742A"/>
    <w:rsid w:val="00D678FE"/>
    <w:rsid w:val="00D67BB6"/>
    <w:rsid w:val="00D704F6"/>
    <w:rsid w:val="00D70502"/>
    <w:rsid w:val="00D70ADE"/>
    <w:rsid w:val="00D7152F"/>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0AFA"/>
    <w:rsid w:val="00DA1139"/>
    <w:rsid w:val="00DA168A"/>
    <w:rsid w:val="00DA1CCE"/>
    <w:rsid w:val="00DA26EA"/>
    <w:rsid w:val="00DA2817"/>
    <w:rsid w:val="00DA2E42"/>
    <w:rsid w:val="00DA38CA"/>
    <w:rsid w:val="00DA42D9"/>
    <w:rsid w:val="00DA45AA"/>
    <w:rsid w:val="00DA48C0"/>
    <w:rsid w:val="00DA548C"/>
    <w:rsid w:val="00DA5810"/>
    <w:rsid w:val="00DA5C55"/>
    <w:rsid w:val="00DA648B"/>
    <w:rsid w:val="00DA6EC7"/>
    <w:rsid w:val="00DA6F09"/>
    <w:rsid w:val="00DA7B47"/>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5CED"/>
    <w:rsid w:val="00DC6B13"/>
    <w:rsid w:val="00DC6C52"/>
    <w:rsid w:val="00DC6C92"/>
    <w:rsid w:val="00DC75AE"/>
    <w:rsid w:val="00DC7763"/>
    <w:rsid w:val="00DC7A68"/>
    <w:rsid w:val="00DD007B"/>
    <w:rsid w:val="00DD0114"/>
    <w:rsid w:val="00DD03DE"/>
    <w:rsid w:val="00DD0D8A"/>
    <w:rsid w:val="00DD1259"/>
    <w:rsid w:val="00DD13AE"/>
    <w:rsid w:val="00DD1D38"/>
    <w:rsid w:val="00DD2371"/>
    <w:rsid w:val="00DD2A3D"/>
    <w:rsid w:val="00DD2B19"/>
    <w:rsid w:val="00DD30A8"/>
    <w:rsid w:val="00DD3335"/>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28C9"/>
    <w:rsid w:val="00DF332A"/>
    <w:rsid w:val="00DF3E86"/>
    <w:rsid w:val="00DF46F1"/>
    <w:rsid w:val="00DF4B42"/>
    <w:rsid w:val="00DF71B7"/>
    <w:rsid w:val="00E002AF"/>
    <w:rsid w:val="00E00523"/>
    <w:rsid w:val="00E032D6"/>
    <w:rsid w:val="00E03649"/>
    <w:rsid w:val="00E041DA"/>
    <w:rsid w:val="00E0431D"/>
    <w:rsid w:val="00E0446E"/>
    <w:rsid w:val="00E04786"/>
    <w:rsid w:val="00E04DA0"/>
    <w:rsid w:val="00E04FE5"/>
    <w:rsid w:val="00E0579C"/>
    <w:rsid w:val="00E05F1C"/>
    <w:rsid w:val="00E0682B"/>
    <w:rsid w:val="00E06F99"/>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37D"/>
    <w:rsid w:val="00E15D4D"/>
    <w:rsid w:val="00E15DE0"/>
    <w:rsid w:val="00E1627A"/>
    <w:rsid w:val="00E17AA0"/>
    <w:rsid w:val="00E17C97"/>
    <w:rsid w:val="00E17F0C"/>
    <w:rsid w:val="00E21D57"/>
    <w:rsid w:val="00E2216F"/>
    <w:rsid w:val="00E22184"/>
    <w:rsid w:val="00E227BA"/>
    <w:rsid w:val="00E24CB2"/>
    <w:rsid w:val="00E255D0"/>
    <w:rsid w:val="00E25600"/>
    <w:rsid w:val="00E25653"/>
    <w:rsid w:val="00E26133"/>
    <w:rsid w:val="00E26804"/>
    <w:rsid w:val="00E26908"/>
    <w:rsid w:val="00E276E3"/>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1AF"/>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22E5"/>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E82"/>
    <w:rsid w:val="00E62FA3"/>
    <w:rsid w:val="00E635F2"/>
    <w:rsid w:val="00E63988"/>
    <w:rsid w:val="00E63B2C"/>
    <w:rsid w:val="00E63F79"/>
    <w:rsid w:val="00E64661"/>
    <w:rsid w:val="00E6506B"/>
    <w:rsid w:val="00E65220"/>
    <w:rsid w:val="00E65624"/>
    <w:rsid w:val="00E66688"/>
    <w:rsid w:val="00E66C07"/>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723"/>
    <w:rsid w:val="00E729C5"/>
    <w:rsid w:val="00E72B7C"/>
    <w:rsid w:val="00E731E5"/>
    <w:rsid w:val="00E73F8F"/>
    <w:rsid w:val="00E75053"/>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B93"/>
    <w:rsid w:val="00EE4F4A"/>
    <w:rsid w:val="00EE51C4"/>
    <w:rsid w:val="00EE563A"/>
    <w:rsid w:val="00EE5EA2"/>
    <w:rsid w:val="00EE67D9"/>
    <w:rsid w:val="00EE6FAF"/>
    <w:rsid w:val="00EE784F"/>
    <w:rsid w:val="00EE7C98"/>
    <w:rsid w:val="00EF1139"/>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6CD"/>
    <w:rsid w:val="00F01A9F"/>
    <w:rsid w:val="00F01ABD"/>
    <w:rsid w:val="00F03B3E"/>
    <w:rsid w:val="00F04E78"/>
    <w:rsid w:val="00F057F0"/>
    <w:rsid w:val="00F05E7A"/>
    <w:rsid w:val="00F06E52"/>
    <w:rsid w:val="00F07A3A"/>
    <w:rsid w:val="00F07A8F"/>
    <w:rsid w:val="00F07C65"/>
    <w:rsid w:val="00F10C84"/>
    <w:rsid w:val="00F1100B"/>
    <w:rsid w:val="00F113B5"/>
    <w:rsid w:val="00F11675"/>
    <w:rsid w:val="00F1179E"/>
    <w:rsid w:val="00F1188B"/>
    <w:rsid w:val="00F12681"/>
    <w:rsid w:val="00F129F8"/>
    <w:rsid w:val="00F13C08"/>
    <w:rsid w:val="00F14D62"/>
    <w:rsid w:val="00F14DFC"/>
    <w:rsid w:val="00F15102"/>
    <w:rsid w:val="00F156D1"/>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9AF"/>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45DF"/>
    <w:rsid w:val="00F346B9"/>
    <w:rsid w:val="00F346CB"/>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3BF0"/>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A15"/>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CF0"/>
    <w:rsid w:val="00F84F48"/>
    <w:rsid w:val="00F850B5"/>
    <w:rsid w:val="00F851BB"/>
    <w:rsid w:val="00F869D6"/>
    <w:rsid w:val="00F86A2F"/>
    <w:rsid w:val="00F86EAE"/>
    <w:rsid w:val="00F87DE0"/>
    <w:rsid w:val="00F87F3E"/>
    <w:rsid w:val="00F90143"/>
    <w:rsid w:val="00F90FCA"/>
    <w:rsid w:val="00F91EB9"/>
    <w:rsid w:val="00F92DE9"/>
    <w:rsid w:val="00F92E41"/>
    <w:rsid w:val="00F930EE"/>
    <w:rsid w:val="00F936DF"/>
    <w:rsid w:val="00F94219"/>
    <w:rsid w:val="00F9464D"/>
    <w:rsid w:val="00F94767"/>
    <w:rsid w:val="00F95EEE"/>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BF2"/>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lang w:eastAsia="en-US"/>
    </w:rPr>
  </w:style>
  <w:style w:type="paragraph" w:styleId="berschrift1">
    <w:name w:val="heading 1"/>
    <w:basedOn w:val="Standard"/>
    <w:next w:val="Standard"/>
    <w:qFormat/>
    <w:pPr>
      <w:keepNext/>
      <w:outlineLvl w:val="0"/>
    </w:pPr>
    <w:rPr>
      <w:rFonts w:ascii="Arial" w:hAnsi="Arial" w:cs="Arial"/>
      <w:b/>
      <w:bCs/>
      <w:sz w:val="20"/>
      <w:szCs w:val="24"/>
      <w:lang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rPr>
  </w:style>
  <w:style w:type="paragraph" w:styleId="Textkrper2">
    <w:name w:val="Body Text 2"/>
    <w:basedOn w:val="Standard"/>
    <w:semiHidden/>
    <w:pPr>
      <w:spacing w:line="360" w:lineRule="atLeast"/>
    </w:pPr>
    <w:rPr>
      <w:rFonts w:ascii="DINMittelschrift" w:hAnsi="DINMittelschrift"/>
      <w:snapToGrid w:val="0"/>
      <w:sz w:val="26"/>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eastAsia="de-DE"/>
    </w:rPr>
  </w:style>
  <w:style w:type="paragraph" w:customStyle="1" w:styleId="Copy">
    <w:name w:val="Copy"/>
    <w:basedOn w:val="Standard"/>
    <w:pPr>
      <w:spacing w:line="360" w:lineRule="auto"/>
    </w:pPr>
    <w:rPr>
      <w:rFonts w:ascii="Arial" w:eastAsia="Times" w:hAnsi="Arial"/>
      <w:sz w:val="20"/>
      <w:lang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fr-FR"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eastAsia="de-DE"/>
    </w:rPr>
  </w:style>
  <w:style w:type="paragraph" w:customStyle="1" w:styleId="opener">
    <w:name w:val="opener"/>
    <w:basedOn w:val="Standard"/>
    <w:rsid w:val="00835CB6"/>
    <w:pPr>
      <w:spacing w:before="100" w:beforeAutospacing="1" w:after="375"/>
      <w:ind w:right="300"/>
    </w:pPr>
    <w:rPr>
      <w:szCs w:val="24"/>
      <w:lang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fr-FR"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paragraph" w:customStyle="1" w:styleId="1NewsStandard">
    <w:name w:val="1 News Standard"/>
    <w:basedOn w:val="Standard"/>
    <w:rsid w:val="00CB1EDB"/>
    <w:pPr>
      <w:spacing w:before="120"/>
      <w:ind w:right="851"/>
    </w:pPr>
    <w:rPr>
      <w:rFonts w:ascii="Avenir Next Regular" w:eastAsia="MS Mincho" w:hAnsi="Avenir Next Regular"/>
      <w:sz w:val="20"/>
      <w:lang w:eastAsia="de-DE"/>
    </w:rPr>
  </w:style>
  <w:style w:type="character" w:customStyle="1" w:styleId="NichtaufgelsteErwhnung2">
    <w:name w:val="Nicht aufgelöste Erwähnung2"/>
    <w:basedOn w:val="Absatz-Standardschriftart"/>
    <w:uiPriority w:val="99"/>
    <w:rsid w:val="00F156D1"/>
    <w:rPr>
      <w:color w:val="605E5C"/>
      <w:shd w:val="clear" w:color="auto" w:fill="E1DFDD"/>
    </w:rPr>
  </w:style>
  <w:style w:type="character" w:customStyle="1" w:styleId="NichtaufgelsteErwhnung3">
    <w:name w:val="Nicht aufgelöste Erwähnung3"/>
    <w:basedOn w:val="Absatz-Standardschriftart"/>
    <w:uiPriority w:val="99"/>
    <w:rsid w:val="008E0C04"/>
    <w:rPr>
      <w:color w:val="605E5C"/>
      <w:shd w:val="clear" w:color="auto" w:fill="E1DFDD"/>
    </w:rPr>
  </w:style>
  <w:style w:type="paragraph" w:styleId="berarbeitung">
    <w:name w:val="Revision"/>
    <w:hidden/>
    <w:uiPriority w:val="71"/>
    <w:rsid w:val="002C762A"/>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206139059">
      <w:bodyDiv w:val="1"/>
      <w:marLeft w:val="0"/>
      <w:marRight w:val="0"/>
      <w:marTop w:val="0"/>
      <w:marBottom w:val="0"/>
      <w:divBdr>
        <w:top w:val="none" w:sz="0" w:space="0" w:color="auto"/>
        <w:left w:val="none" w:sz="0" w:space="0" w:color="auto"/>
        <w:bottom w:val="none" w:sz="0" w:space="0" w:color="auto"/>
        <w:right w:val="none" w:sz="0" w:space="0" w:color="auto"/>
      </w:divBdr>
    </w:div>
    <w:div w:id="214775105">
      <w:bodyDiv w:val="1"/>
      <w:marLeft w:val="0"/>
      <w:marRight w:val="0"/>
      <w:marTop w:val="0"/>
      <w:marBottom w:val="0"/>
      <w:divBdr>
        <w:top w:val="none" w:sz="0" w:space="0" w:color="auto"/>
        <w:left w:val="none" w:sz="0" w:space="0" w:color="auto"/>
        <w:bottom w:val="none" w:sz="0" w:space="0" w:color="auto"/>
        <w:right w:val="none" w:sz="0" w:space="0" w:color="auto"/>
      </w:divBdr>
    </w:div>
    <w:div w:id="313725681">
      <w:bodyDiv w:val="1"/>
      <w:marLeft w:val="0"/>
      <w:marRight w:val="0"/>
      <w:marTop w:val="0"/>
      <w:marBottom w:val="0"/>
      <w:divBdr>
        <w:top w:val="none" w:sz="0" w:space="0" w:color="auto"/>
        <w:left w:val="none" w:sz="0" w:space="0" w:color="auto"/>
        <w:bottom w:val="none" w:sz="0" w:space="0" w:color="auto"/>
        <w:right w:val="none" w:sz="0" w:space="0" w:color="auto"/>
      </w:divBdr>
      <w:divsChild>
        <w:div w:id="1990280874">
          <w:marLeft w:val="0"/>
          <w:marRight w:val="0"/>
          <w:marTop w:val="0"/>
          <w:marBottom w:val="0"/>
          <w:divBdr>
            <w:top w:val="none" w:sz="0" w:space="0" w:color="auto"/>
            <w:left w:val="none" w:sz="0" w:space="0" w:color="auto"/>
            <w:bottom w:val="none" w:sz="0" w:space="0" w:color="auto"/>
            <w:right w:val="none" w:sz="0" w:space="0" w:color="auto"/>
          </w:divBdr>
          <w:divsChild>
            <w:div w:id="706684183">
              <w:marLeft w:val="0"/>
              <w:marRight w:val="0"/>
              <w:marTop w:val="0"/>
              <w:marBottom w:val="0"/>
              <w:divBdr>
                <w:top w:val="none" w:sz="0" w:space="0" w:color="auto"/>
                <w:left w:val="none" w:sz="0" w:space="0" w:color="auto"/>
                <w:bottom w:val="none" w:sz="0" w:space="0" w:color="auto"/>
                <w:right w:val="none" w:sz="0" w:space="0" w:color="auto"/>
              </w:divBdr>
              <w:divsChild>
                <w:div w:id="977494070">
                  <w:marLeft w:val="0"/>
                  <w:marRight w:val="0"/>
                  <w:marTop w:val="0"/>
                  <w:marBottom w:val="0"/>
                  <w:divBdr>
                    <w:top w:val="none" w:sz="0" w:space="0" w:color="auto"/>
                    <w:left w:val="none" w:sz="0" w:space="0" w:color="auto"/>
                    <w:bottom w:val="none" w:sz="0" w:space="0" w:color="auto"/>
                    <w:right w:val="none" w:sz="0" w:space="0" w:color="auto"/>
                  </w:divBdr>
                  <w:divsChild>
                    <w:div w:id="10780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807447">
      <w:bodyDiv w:val="1"/>
      <w:marLeft w:val="0"/>
      <w:marRight w:val="0"/>
      <w:marTop w:val="0"/>
      <w:marBottom w:val="0"/>
      <w:divBdr>
        <w:top w:val="none" w:sz="0" w:space="0" w:color="auto"/>
        <w:left w:val="none" w:sz="0" w:space="0" w:color="auto"/>
        <w:bottom w:val="none" w:sz="0" w:space="0" w:color="auto"/>
        <w:right w:val="none" w:sz="0" w:space="0" w:color="auto"/>
      </w:divBdr>
      <w:divsChild>
        <w:div w:id="1472746356">
          <w:marLeft w:val="0"/>
          <w:marRight w:val="0"/>
          <w:marTop w:val="0"/>
          <w:marBottom w:val="0"/>
          <w:divBdr>
            <w:top w:val="none" w:sz="0" w:space="0" w:color="auto"/>
            <w:left w:val="none" w:sz="0" w:space="0" w:color="auto"/>
            <w:bottom w:val="none" w:sz="0" w:space="0" w:color="auto"/>
            <w:right w:val="none" w:sz="0" w:space="0" w:color="auto"/>
          </w:divBdr>
          <w:divsChild>
            <w:div w:id="1642081369">
              <w:marLeft w:val="0"/>
              <w:marRight w:val="0"/>
              <w:marTop w:val="0"/>
              <w:marBottom w:val="0"/>
              <w:divBdr>
                <w:top w:val="none" w:sz="0" w:space="0" w:color="auto"/>
                <w:left w:val="none" w:sz="0" w:space="0" w:color="auto"/>
                <w:bottom w:val="none" w:sz="0" w:space="0" w:color="auto"/>
                <w:right w:val="none" w:sz="0" w:space="0" w:color="auto"/>
              </w:divBdr>
              <w:divsChild>
                <w:div w:id="235288913">
                  <w:marLeft w:val="0"/>
                  <w:marRight w:val="0"/>
                  <w:marTop w:val="0"/>
                  <w:marBottom w:val="0"/>
                  <w:divBdr>
                    <w:top w:val="none" w:sz="0" w:space="0" w:color="auto"/>
                    <w:left w:val="none" w:sz="0" w:space="0" w:color="auto"/>
                    <w:bottom w:val="none" w:sz="0" w:space="0" w:color="auto"/>
                    <w:right w:val="none" w:sz="0" w:space="0" w:color="auto"/>
                  </w:divBdr>
                  <w:divsChild>
                    <w:div w:id="961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909586">
      <w:bodyDiv w:val="1"/>
      <w:marLeft w:val="0"/>
      <w:marRight w:val="0"/>
      <w:marTop w:val="0"/>
      <w:marBottom w:val="0"/>
      <w:divBdr>
        <w:top w:val="none" w:sz="0" w:space="0" w:color="auto"/>
        <w:left w:val="none" w:sz="0" w:space="0" w:color="auto"/>
        <w:bottom w:val="none" w:sz="0" w:space="0" w:color="auto"/>
        <w:right w:val="none" w:sz="0" w:space="0" w:color="auto"/>
      </w:divBdr>
    </w:div>
    <w:div w:id="1298299580">
      <w:bodyDiv w:val="1"/>
      <w:marLeft w:val="0"/>
      <w:marRight w:val="0"/>
      <w:marTop w:val="0"/>
      <w:marBottom w:val="0"/>
      <w:divBdr>
        <w:top w:val="none" w:sz="0" w:space="0" w:color="auto"/>
        <w:left w:val="none" w:sz="0" w:space="0" w:color="auto"/>
        <w:bottom w:val="none" w:sz="0" w:space="0" w:color="auto"/>
        <w:right w:val="none" w:sz="0" w:space="0" w:color="auto"/>
      </w:divBdr>
      <w:divsChild>
        <w:div w:id="1886797950">
          <w:marLeft w:val="0"/>
          <w:marRight w:val="0"/>
          <w:marTop w:val="0"/>
          <w:marBottom w:val="0"/>
          <w:divBdr>
            <w:top w:val="none" w:sz="0" w:space="0" w:color="auto"/>
            <w:left w:val="none" w:sz="0" w:space="0" w:color="auto"/>
            <w:bottom w:val="none" w:sz="0" w:space="0" w:color="auto"/>
            <w:right w:val="none" w:sz="0" w:space="0" w:color="auto"/>
          </w:divBdr>
          <w:divsChild>
            <w:div w:id="157311086">
              <w:marLeft w:val="0"/>
              <w:marRight w:val="0"/>
              <w:marTop w:val="0"/>
              <w:marBottom w:val="0"/>
              <w:divBdr>
                <w:top w:val="none" w:sz="0" w:space="0" w:color="auto"/>
                <w:left w:val="none" w:sz="0" w:space="0" w:color="auto"/>
                <w:bottom w:val="none" w:sz="0" w:space="0" w:color="auto"/>
                <w:right w:val="none" w:sz="0" w:space="0" w:color="auto"/>
              </w:divBdr>
              <w:divsChild>
                <w:div w:id="551772707">
                  <w:marLeft w:val="0"/>
                  <w:marRight w:val="0"/>
                  <w:marTop w:val="0"/>
                  <w:marBottom w:val="0"/>
                  <w:divBdr>
                    <w:top w:val="none" w:sz="0" w:space="0" w:color="auto"/>
                    <w:left w:val="none" w:sz="0" w:space="0" w:color="auto"/>
                    <w:bottom w:val="none" w:sz="0" w:space="0" w:color="auto"/>
                    <w:right w:val="none" w:sz="0" w:space="0" w:color="auto"/>
                  </w:divBdr>
                  <w:divsChild>
                    <w:div w:id="8507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2799419">
      <w:bodyDiv w:val="1"/>
      <w:marLeft w:val="0"/>
      <w:marRight w:val="0"/>
      <w:marTop w:val="0"/>
      <w:marBottom w:val="0"/>
      <w:divBdr>
        <w:top w:val="none" w:sz="0" w:space="0" w:color="auto"/>
        <w:left w:val="none" w:sz="0" w:space="0" w:color="auto"/>
        <w:bottom w:val="none" w:sz="0" w:space="0" w:color="auto"/>
        <w:right w:val="none" w:sz="0" w:space="0" w:color="auto"/>
      </w:divBdr>
      <w:divsChild>
        <w:div w:id="664864861">
          <w:marLeft w:val="0"/>
          <w:marRight w:val="0"/>
          <w:marTop w:val="0"/>
          <w:marBottom w:val="0"/>
          <w:divBdr>
            <w:top w:val="none" w:sz="0" w:space="0" w:color="auto"/>
            <w:left w:val="none" w:sz="0" w:space="0" w:color="auto"/>
            <w:bottom w:val="none" w:sz="0" w:space="0" w:color="auto"/>
            <w:right w:val="none" w:sz="0" w:space="0" w:color="auto"/>
          </w:divBdr>
          <w:divsChild>
            <w:div w:id="787895880">
              <w:marLeft w:val="0"/>
              <w:marRight w:val="0"/>
              <w:marTop w:val="0"/>
              <w:marBottom w:val="0"/>
              <w:divBdr>
                <w:top w:val="none" w:sz="0" w:space="0" w:color="auto"/>
                <w:left w:val="none" w:sz="0" w:space="0" w:color="auto"/>
                <w:bottom w:val="none" w:sz="0" w:space="0" w:color="auto"/>
                <w:right w:val="none" w:sz="0" w:space="0" w:color="auto"/>
              </w:divBdr>
              <w:divsChild>
                <w:div w:id="1566522917">
                  <w:marLeft w:val="0"/>
                  <w:marRight w:val="0"/>
                  <w:marTop w:val="0"/>
                  <w:marBottom w:val="0"/>
                  <w:divBdr>
                    <w:top w:val="none" w:sz="0" w:space="0" w:color="auto"/>
                    <w:left w:val="none" w:sz="0" w:space="0" w:color="auto"/>
                    <w:bottom w:val="none" w:sz="0" w:space="0" w:color="auto"/>
                    <w:right w:val="none" w:sz="0" w:space="0" w:color="auto"/>
                  </w:divBdr>
                  <w:divsChild>
                    <w:div w:id="14335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5350">
      <w:bodyDiv w:val="1"/>
      <w:marLeft w:val="0"/>
      <w:marRight w:val="0"/>
      <w:marTop w:val="0"/>
      <w:marBottom w:val="0"/>
      <w:divBdr>
        <w:top w:val="none" w:sz="0" w:space="0" w:color="auto"/>
        <w:left w:val="none" w:sz="0" w:space="0" w:color="auto"/>
        <w:bottom w:val="none" w:sz="0" w:space="0" w:color="auto"/>
        <w:right w:val="none" w:sz="0" w:space="0" w:color="auto"/>
      </w:divBdr>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558863">
      <w:bodyDiv w:val="1"/>
      <w:marLeft w:val="0"/>
      <w:marRight w:val="0"/>
      <w:marTop w:val="0"/>
      <w:marBottom w:val="0"/>
      <w:divBdr>
        <w:top w:val="none" w:sz="0" w:space="0" w:color="auto"/>
        <w:left w:val="none" w:sz="0" w:space="0" w:color="auto"/>
        <w:bottom w:val="none" w:sz="0" w:space="0" w:color="auto"/>
        <w:right w:val="none" w:sz="0" w:space="0" w:color="auto"/>
      </w:divBdr>
      <w:divsChild>
        <w:div w:id="2063552763">
          <w:marLeft w:val="0"/>
          <w:marRight w:val="0"/>
          <w:marTop w:val="0"/>
          <w:marBottom w:val="0"/>
          <w:divBdr>
            <w:top w:val="none" w:sz="0" w:space="0" w:color="auto"/>
            <w:left w:val="none" w:sz="0" w:space="0" w:color="auto"/>
            <w:bottom w:val="none" w:sz="0" w:space="0" w:color="auto"/>
            <w:right w:val="none" w:sz="0" w:space="0" w:color="auto"/>
          </w:divBdr>
          <w:divsChild>
            <w:div w:id="1458908887">
              <w:marLeft w:val="0"/>
              <w:marRight w:val="0"/>
              <w:marTop w:val="0"/>
              <w:marBottom w:val="0"/>
              <w:divBdr>
                <w:top w:val="none" w:sz="0" w:space="0" w:color="auto"/>
                <w:left w:val="none" w:sz="0" w:space="0" w:color="auto"/>
                <w:bottom w:val="none" w:sz="0" w:space="0" w:color="auto"/>
                <w:right w:val="none" w:sz="0" w:space="0" w:color="auto"/>
              </w:divBdr>
              <w:divsChild>
                <w:div w:id="1510637272">
                  <w:marLeft w:val="0"/>
                  <w:marRight w:val="0"/>
                  <w:marTop w:val="0"/>
                  <w:marBottom w:val="0"/>
                  <w:divBdr>
                    <w:top w:val="none" w:sz="0" w:space="0" w:color="auto"/>
                    <w:left w:val="none" w:sz="0" w:space="0" w:color="auto"/>
                    <w:bottom w:val="none" w:sz="0" w:space="0" w:color="auto"/>
                    <w:right w:val="none" w:sz="0" w:space="0" w:color="auto"/>
                  </w:divBdr>
                  <w:divsChild>
                    <w:div w:id="7863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967691">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anasonic.ch@eu.panasonic.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xperience.panasonic.ch/"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nasonic.com/global/home.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panasonic.com/ch/de/corporate/presse.htm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A2CA9-A16A-4CAB-9A99-9BC7265A5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PM_neuesLayout_komplett.dot</Template>
  <TotalTime>0</TotalTime>
  <Pages>3</Pages>
  <Words>904</Words>
  <Characters>5269</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6161</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Apostroph Group</cp:lastModifiedBy>
  <cp:revision>16</cp:revision>
  <cp:lastPrinted>2021-02-16T12:23:00Z</cp:lastPrinted>
  <dcterms:created xsi:type="dcterms:W3CDTF">2021-02-10T15:40:00Z</dcterms:created>
  <dcterms:modified xsi:type="dcterms:W3CDTF">2021-02-19T09:22:00Z</dcterms:modified>
  <cp:category/>
</cp:coreProperties>
</file>