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2D2C20F2" w:rsidR="00C606C6" w:rsidRPr="0074558C" w:rsidRDefault="00C606C6">
      <w:pPr>
        <w:pStyle w:val="Kopfzeile"/>
        <w:tabs>
          <w:tab w:val="clear" w:pos="4153"/>
          <w:tab w:val="clear" w:pos="8306"/>
        </w:tabs>
        <w:rPr>
          <w:rFonts w:ascii="DIN-Bold" w:hAnsi="DIN-Bold" w:cs="Arial"/>
          <w:sz w:val="20"/>
          <w:lang w:val="de-DE"/>
        </w:rPr>
      </w:pPr>
    </w:p>
    <w:p w14:paraId="74C74A4D" w14:textId="62487830" w:rsidR="00E17AA0" w:rsidRPr="0074558C" w:rsidRDefault="00502912" w:rsidP="006A5758">
      <w:pPr>
        <w:framePr w:w="7747" w:h="295" w:hSpace="142" w:wrap="around" w:vAnchor="page" w:hAnchor="page" w:x="908" w:y="4991" w:anchorLock="1"/>
        <w:rPr>
          <w:rFonts w:ascii="DIN-Black" w:hAnsi="DIN-Black"/>
          <w:sz w:val="25"/>
          <w:lang w:val="de-DE"/>
        </w:rPr>
      </w:pPr>
      <w:r w:rsidRPr="004259F9">
        <w:rPr>
          <w:rFonts w:ascii="DIN-Medium" w:hAnsi="DIN-Medium"/>
          <w:sz w:val="31"/>
          <w:lang w:val="de-DE"/>
        </w:rPr>
        <w:t xml:space="preserve">Nachhaltigkeit: Panasonic </w:t>
      </w:r>
      <w:r w:rsidR="00B833EB">
        <w:rPr>
          <w:rFonts w:ascii="DIN-Medium" w:hAnsi="DIN-Medium"/>
          <w:sz w:val="31"/>
          <w:lang w:val="de-DE"/>
        </w:rPr>
        <w:t>auf dem Weg zur CO</w:t>
      </w:r>
      <w:r w:rsidR="00B833EB" w:rsidRPr="00B833EB">
        <w:rPr>
          <w:rFonts w:ascii="DIN-Medium" w:hAnsi="DIN-Medium"/>
          <w:sz w:val="31"/>
          <w:vertAlign w:val="subscript"/>
          <w:lang w:val="de-DE"/>
        </w:rPr>
        <w:t>2</w:t>
      </w:r>
      <w:r w:rsidR="00B833EB">
        <w:rPr>
          <w:rFonts w:ascii="DIN-Medium" w:hAnsi="DIN-Medium"/>
          <w:sz w:val="31"/>
          <w:lang w:val="de-DE"/>
        </w:rPr>
        <w:t>-Neutralität</w:t>
      </w:r>
    </w:p>
    <w:p w14:paraId="3EC2ECB3" w14:textId="5D2AA545" w:rsidR="001D3EEF" w:rsidRPr="0074558C" w:rsidRDefault="00645509" w:rsidP="006A5758">
      <w:pPr>
        <w:framePr w:w="7747" w:h="295" w:hSpace="142" w:wrap="around" w:vAnchor="page" w:hAnchor="page" w:x="908" w:y="4991" w:anchorLock="1"/>
        <w:rPr>
          <w:rFonts w:ascii="DIN-Black" w:hAnsi="DIN-Black"/>
          <w:sz w:val="25"/>
          <w:lang w:val="de-DE"/>
        </w:rPr>
      </w:pPr>
      <w:r w:rsidRPr="00645509">
        <w:rPr>
          <w:rFonts w:ascii="DIN-Black" w:hAnsi="DIN-Black"/>
          <w:sz w:val="25"/>
          <w:lang w:val="de-DE"/>
        </w:rPr>
        <w:t>IFA 2022: Panasonic stellt Lösungen zur Verringerung des CO</w:t>
      </w:r>
      <w:r w:rsidRPr="00426EB0">
        <w:rPr>
          <w:rFonts w:ascii="DIN-Black" w:hAnsi="DIN-Black"/>
          <w:sz w:val="25"/>
          <w:vertAlign w:val="subscript"/>
          <w:lang w:val="de-DE"/>
        </w:rPr>
        <w:t>2</w:t>
      </w:r>
      <w:r w:rsidRPr="00645509">
        <w:rPr>
          <w:rFonts w:ascii="DIN-Black" w:hAnsi="DIN-Black"/>
          <w:sz w:val="25"/>
          <w:lang w:val="de-DE"/>
        </w:rPr>
        <w:t>-Fußabdrucks von Privatpersonen und Unternehmen vor und präsentiert Technologien und Projekte zur eigenen Klimaneutralität bis 2030</w:t>
      </w:r>
    </w:p>
    <w:p w14:paraId="6083FE8F" w14:textId="4784AA9B" w:rsidR="008460A2" w:rsidRPr="0074558C" w:rsidRDefault="004C4DF9"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sidR="008460A2" w:rsidRPr="0074558C">
        <w:rPr>
          <w:rFonts w:ascii="Arial" w:hAnsi="Arial"/>
          <w:sz w:val="22"/>
          <w:lang w:val="de-DE"/>
        </w:rPr>
        <w:br/>
      </w:r>
      <w:r w:rsidR="00427032" w:rsidRPr="0074558C">
        <w:rPr>
          <w:rFonts w:ascii="DIN-Black" w:hAnsi="DIN-Black"/>
          <w:color w:val="808080"/>
          <w:sz w:val="22"/>
          <w:lang w:val="de-DE"/>
        </w:rPr>
        <w:t>N</w:t>
      </w:r>
      <w:r>
        <w:rPr>
          <w:rFonts w:ascii="DIN-Black" w:hAnsi="DIN-Black"/>
          <w:color w:val="808080"/>
          <w:sz w:val="22"/>
          <w:lang w:val="de-DE"/>
        </w:rPr>
        <w:t>r.</w:t>
      </w:r>
      <w:r w:rsidR="00ED2A3E" w:rsidRPr="0074558C">
        <w:rPr>
          <w:rFonts w:ascii="DIN-Black" w:hAnsi="DIN-Black"/>
          <w:color w:val="808080"/>
          <w:sz w:val="22"/>
          <w:lang w:val="de-DE"/>
        </w:rPr>
        <w:t xml:space="preserve"> </w:t>
      </w:r>
      <w:r w:rsidR="00645509">
        <w:rPr>
          <w:rFonts w:ascii="DIN-Black" w:hAnsi="DIN-Black"/>
          <w:color w:val="808080"/>
          <w:sz w:val="22"/>
          <w:lang w:val="de-DE"/>
        </w:rPr>
        <w:t>20</w:t>
      </w:r>
      <w:r w:rsidR="00427032" w:rsidRPr="0074558C">
        <w:rPr>
          <w:rFonts w:ascii="DIN-Black" w:hAnsi="DIN-Black"/>
          <w:color w:val="808080"/>
          <w:sz w:val="22"/>
          <w:lang w:val="de-DE"/>
        </w:rPr>
        <w:t>/</w:t>
      </w:r>
      <w:r w:rsidR="00C40805" w:rsidRPr="0074558C">
        <w:rPr>
          <w:rFonts w:ascii="DIN-Black" w:hAnsi="DIN-Black"/>
          <w:color w:val="808080"/>
          <w:sz w:val="22"/>
          <w:lang w:val="de-DE"/>
        </w:rPr>
        <w:t>FY 20</w:t>
      </w:r>
      <w:r w:rsidR="00E522E5" w:rsidRPr="0074558C">
        <w:rPr>
          <w:rFonts w:ascii="DIN-Black" w:hAnsi="DIN-Black"/>
          <w:color w:val="808080"/>
          <w:sz w:val="22"/>
          <w:lang w:val="de-DE"/>
        </w:rPr>
        <w:t>2</w:t>
      </w:r>
      <w:r w:rsidR="00702004" w:rsidRPr="0074558C">
        <w:rPr>
          <w:rFonts w:ascii="DIN-Black" w:hAnsi="DIN-Black"/>
          <w:color w:val="808080"/>
          <w:sz w:val="22"/>
          <w:lang w:val="de-DE"/>
        </w:rPr>
        <w:t>2</w:t>
      </w:r>
      <w:r w:rsidR="008460A2" w:rsidRPr="0074558C">
        <w:rPr>
          <w:rFonts w:ascii="DIN-Black" w:hAnsi="DIN-Black"/>
          <w:color w:val="808080"/>
          <w:sz w:val="22"/>
          <w:lang w:val="de-DE"/>
        </w:rPr>
        <w:t xml:space="preserve">, </w:t>
      </w:r>
      <w:r w:rsidR="003C289C" w:rsidRPr="0074558C">
        <w:rPr>
          <w:rFonts w:ascii="DIN-Black" w:hAnsi="DIN-Black"/>
          <w:color w:val="808080"/>
          <w:sz w:val="22"/>
          <w:lang w:val="de-DE"/>
        </w:rPr>
        <w:t>August</w:t>
      </w:r>
      <w:r w:rsidR="008460A2" w:rsidRPr="0074558C">
        <w:rPr>
          <w:rFonts w:ascii="DIN-Black" w:hAnsi="DIN-Black"/>
          <w:color w:val="808080"/>
          <w:sz w:val="22"/>
          <w:lang w:val="de-DE"/>
        </w:rPr>
        <w:t xml:space="preserve"> 20</w:t>
      </w:r>
      <w:r w:rsidR="00E522E5" w:rsidRPr="0074558C">
        <w:rPr>
          <w:rFonts w:ascii="DIN-Black" w:hAnsi="DIN-Black"/>
          <w:color w:val="808080"/>
          <w:sz w:val="22"/>
          <w:lang w:val="de-DE"/>
        </w:rPr>
        <w:t>2</w:t>
      </w:r>
      <w:r w:rsidR="00702004" w:rsidRPr="0074558C">
        <w:rPr>
          <w:rFonts w:ascii="DIN-Black" w:hAnsi="DIN-Black"/>
          <w:color w:val="808080"/>
          <w:sz w:val="22"/>
          <w:lang w:val="de-DE"/>
        </w:rPr>
        <w:t>2</w:t>
      </w:r>
    </w:p>
    <w:p w14:paraId="42C9B02E" w14:textId="143DDBFA" w:rsidR="008460A2" w:rsidRPr="0074558C" w:rsidRDefault="008460A2" w:rsidP="008460A2">
      <w:pPr>
        <w:framePr w:w="7774" w:h="1435" w:hRule="exact" w:hSpace="142" w:wrap="around" w:vAnchor="page" w:hAnchor="page" w:x="914" w:y="3460" w:anchorLock="1"/>
        <w:spacing w:before="120" w:line="360" w:lineRule="auto"/>
        <w:jc w:val="both"/>
        <w:rPr>
          <w:rFonts w:ascii="Helvetica" w:hAnsi="Helvetica"/>
          <w:b/>
          <w:bCs/>
          <w:color w:val="FF0000"/>
          <w:sz w:val="22"/>
          <w:lang w:val="de-DE"/>
        </w:rPr>
      </w:pPr>
    </w:p>
    <w:p w14:paraId="4D0116BD"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Pr="0074558C"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Pr="0074558C" w:rsidRDefault="00192093" w:rsidP="000A4552">
      <w:pPr>
        <w:framePr w:w="2155" w:h="7655" w:hSpace="142" w:wrap="around" w:vAnchor="page" w:hAnchor="page" w:x="8904" w:y="4865" w:anchorLock="1"/>
        <w:rPr>
          <w:rFonts w:ascii="DIN-Medium" w:hAnsi="DIN-Medium"/>
          <w:sz w:val="14"/>
          <w:szCs w:val="14"/>
          <w:lang w:val="de-DE"/>
        </w:rPr>
      </w:pPr>
    </w:p>
    <w:p w14:paraId="67866546" w14:textId="7FA27716" w:rsidR="00556A03" w:rsidRPr="0074558C" w:rsidRDefault="004C4DF9"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1" w:history="1">
        <w:r w:rsidRPr="00CE28D3">
          <w:rPr>
            <w:rStyle w:val="Hyperlink"/>
            <w:rFonts w:ascii="DIN-Medium" w:hAnsi="DIN-Medium"/>
            <w:sz w:val="14"/>
            <w:szCs w:val="14"/>
            <w:lang w:val="de-DE"/>
          </w:rPr>
          <w:t>www.panasonic.com/de/presse</w:t>
        </w:r>
      </w:hyperlink>
    </w:p>
    <w:p w14:paraId="3B814D92" w14:textId="0545D24E" w:rsidR="009C08A0" w:rsidRPr="009C08A0" w:rsidRDefault="00645509" w:rsidP="009C08A0">
      <w:pPr>
        <w:ind w:right="-57"/>
        <w:rPr>
          <w:rFonts w:ascii="DIN-Bold" w:hAnsi="DIN-Bold"/>
          <w:b/>
          <w:bCs/>
          <w:sz w:val="20"/>
          <w:lang w:val="de-DE"/>
        </w:rPr>
      </w:pPr>
      <w:r>
        <w:rPr>
          <w:rFonts w:ascii="DIN-Bold" w:hAnsi="DIN-Bold"/>
          <w:b/>
          <w:bCs/>
          <w:noProof/>
          <w:sz w:val="20"/>
          <w:lang w:val="de-DE"/>
        </w:rPr>
        <w:drawing>
          <wp:anchor distT="0" distB="0" distL="114300" distR="114300" simplePos="0" relativeHeight="251658240" behindDoc="1" locked="0" layoutInCell="1" allowOverlap="1" wp14:anchorId="156C1078" wp14:editId="60561A86">
            <wp:simplePos x="0" y="0"/>
            <wp:positionH relativeFrom="column">
              <wp:posOffset>635</wp:posOffset>
            </wp:positionH>
            <wp:positionV relativeFrom="paragraph">
              <wp:posOffset>55880</wp:posOffset>
            </wp:positionV>
            <wp:extent cx="1746250" cy="1163955"/>
            <wp:effectExtent l="0" t="0" r="6350" b="4445"/>
            <wp:wrapTight wrapText="bothSides">
              <wp:wrapPolygon edited="0">
                <wp:start x="0" y="0"/>
                <wp:lineTo x="0" y="21447"/>
                <wp:lineTo x="21521" y="21447"/>
                <wp:lineTo x="2152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stretch>
                      <a:fillRect/>
                    </a:stretch>
                  </pic:blipFill>
                  <pic:spPr>
                    <a:xfrm>
                      <a:off x="0" y="0"/>
                      <a:ext cx="1746250" cy="1163955"/>
                    </a:xfrm>
                    <a:prstGeom prst="rect">
                      <a:avLst/>
                    </a:prstGeom>
                  </pic:spPr>
                </pic:pic>
              </a:graphicData>
            </a:graphic>
            <wp14:sizeRelH relativeFrom="margin">
              <wp14:pctWidth>0</wp14:pctWidth>
            </wp14:sizeRelH>
            <wp14:sizeRelV relativeFrom="margin">
              <wp14:pctHeight>0</wp14:pctHeight>
            </wp14:sizeRelV>
          </wp:anchor>
        </w:drawing>
      </w:r>
      <w:r w:rsidR="009427D8" w:rsidRPr="0074558C">
        <w:rPr>
          <w:rFonts w:ascii="DIN-Bold" w:hAnsi="DIN-Bold"/>
          <w:b/>
          <w:bCs/>
          <w:sz w:val="20"/>
          <w:lang w:val="de-DE"/>
        </w:rPr>
        <w:t>Berlin</w:t>
      </w:r>
      <w:r w:rsidR="00217C3F" w:rsidRPr="0074558C">
        <w:rPr>
          <w:rFonts w:ascii="DIN-Bold" w:hAnsi="DIN-Bold"/>
          <w:b/>
          <w:bCs/>
          <w:sz w:val="20"/>
          <w:lang w:val="de-DE"/>
        </w:rPr>
        <w:t xml:space="preserve">, </w:t>
      </w:r>
      <w:r w:rsidR="009427D8" w:rsidRPr="0074558C">
        <w:rPr>
          <w:rFonts w:ascii="DIN-Bold" w:hAnsi="DIN-Bold"/>
          <w:b/>
          <w:bCs/>
          <w:sz w:val="20"/>
          <w:lang w:val="de-DE"/>
        </w:rPr>
        <w:t>31</w:t>
      </w:r>
      <w:r w:rsidR="004C4DF9">
        <w:rPr>
          <w:rFonts w:ascii="DIN-Bold" w:hAnsi="DIN-Bold"/>
          <w:b/>
          <w:bCs/>
          <w:sz w:val="20"/>
          <w:lang w:val="de-DE"/>
        </w:rPr>
        <w:t>.</w:t>
      </w:r>
      <w:r w:rsidR="009427D8" w:rsidRPr="0074558C">
        <w:rPr>
          <w:rFonts w:ascii="DIN-Bold" w:hAnsi="DIN-Bold"/>
          <w:b/>
          <w:bCs/>
          <w:sz w:val="20"/>
          <w:lang w:val="de-DE"/>
        </w:rPr>
        <w:t xml:space="preserve"> </w:t>
      </w:r>
      <w:r w:rsidR="00217C3F" w:rsidRPr="0074558C">
        <w:rPr>
          <w:rFonts w:ascii="DIN-Bold" w:hAnsi="DIN-Bold"/>
          <w:b/>
          <w:bCs/>
          <w:sz w:val="20"/>
          <w:lang w:val="de-DE"/>
        </w:rPr>
        <w:t xml:space="preserve">August 2022 </w:t>
      </w:r>
      <w:r w:rsidR="00896BA9" w:rsidRPr="0074558C">
        <w:rPr>
          <w:rFonts w:ascii="DIN-Bold" w:hAnsi="DIN-Bold"/>
          <w:b/>
          <w:bCs/>
          <w:sz w:val="20"/>
          <w:lang w:val="de-DE"/>
        </w:rPr>
        <w:t>–</w:t>
      </w:r>
      <w:r w:rsidR="00217C3F" w:rsidRPr="0074558C">
        <w:rPr>
          <w:rFonts w:ascii="DIN-Bold" w:hAnsi="DIN-Bold"/>
          <w:b/>
          <w:bCs/>
          <w:sz w:val="20"/>
          <w:lang w:val="de-DE"/>
        </w:rPr>
        <w:t xml:space="preserve"> </w:t>
      </w:r>
      <w:r w:rsidR="009C08A0" w:rsidRPr="009C08A0">
        <w:rPr>
          <w:rFonts w:ascii="DIN-Bold" w:hAnsi="DIN-Bold"/>
          <w:b/>
          <w:bCs/>
          <w:sz w:val="20"/>
          <w:lang w:val="de-DE"/>
        </w:rPr>
        <w:t>Auf der IFA 2022 wird Panasonic nicht nur seine neuesten Produkte im Bereich</w:t>
      </w:r>
      <w:r w:rsidR="009C08A0">
        <w:rPr>
          <w:rFonts w:ascii="DIN-Bold" w:hAnsi="DIN-Bold"/>
          <w:b/>
          <w:bCs/>
          <w:sz w:val="20"/>
          <w:lang w:val="de-DE"/>
        </w:rPr>
        <w:t xml:space="preserve"> </w:t>
      </w:r>
      <w:r w:rsidR="009C08A0" w:rsidRPr="009C08A0">
        <w:rPr>
          <w:rFonts w:ascii="DIN-Bold" w:hAnsi="DIN-Bold"/>
          <w:b/>
          <w:bCs/>
          <w:sz w:val="20"/>
          <w:lang w:val="de-DE"/>
        </w:rPr>
        <w:t xml:space="preserve">Unterhaltungselektronik vorstellen, sondern auch umfassende und konkrete Lösungen zur Bekämpfung eines der größten gesellschaftlichen Probleme unserer Zeit: des Klimawandels. Mit seinem GREEN IMPACT Plan (GIP) will Panasonic einen grundlegenden Beitrag zur Bewältigung von Umweltproblemen leisten, wobei ein besonderer Schwerpunkt auf massiver </w:t>
      </w:r>
      <w:r w:rsidR="00502912">
        <w:rPr>
          <w:rFonts w:ascii="DIN-Bold" w:hAnsi="DIN-Bold"/>
          <w:b/>
          <w:bCs/>
          <w:sz w:val="20"/>
          <w:lang w:val="de-DE"/>
        </w:rPr>
        <w:t>CO</w:t>
      </w:r>
      <w:r w:rsidR="00502912" w:rsidRPr="00502912">
        <w:rPr>
          <w:rFonts w:ascii="DIN-Bold" w:hAnsi="DIN-Bold"/>
          <w:b/>
          <w:bCs/>
          <w:sz w:val="20"/>
          <w:vertAlign w:val="subscript"/>
          <w:lang w:val="de-DE"/>
        </w:rPr>
        <w:t>2</w:t>
      </w:r>
      <w:r w:rsidR="00502912">
        <w:rPr>
          <w:rFonts w:ascii="DIN-Bold" w:hAnsi="DIN-Bold"/>
          <w:b/>
          <w:bCs/>
          <w:sz w:val="20"/>
          <w:lang w:val="de-DE"/>
        </w:rPr>
        <w:t>-R</w:t>
      </w:r>
      <w:r w:rsidR="009C08A0" w:rsidRPr="009C08A0">
        <w:rPr>
          <w:rFonts w:ascii="DIN-Bold" w:hAnsi="DIN-Bold"/>
          <w:b/>
          <w:bCs/>
          <w:sz w:val="20"/>
          <w:lang w:val="de-DE"/>
        </w:rPr>
        <w:t xml:space="preserve">eduzierung und Kreislaufwirtschaft liegt. </w:t>
      </w:r>
      <w:r w:rsidR="00587346">
        <w:rPr>
          <w:rFonts w:ascii="DIN-Bold" w:hAnsi="DIN-Bold"/>
          <w:b/>
          <w:bCs/>
          <w:sz w:val="20"/>
          <w:lang w:val="de-DE"/>
        </w:rPr>
        <w:t xml:space="preserve">Das </w:t>
      </w:r>
      <w:r w:rsidR="009C08A0" w:rsidRPr="009C08A0">
        <w:rPr>
          <w:rFonts w:ascii="DIN-Bold" w:hAnsi="DIN-Bold"/>
          <w:b/>
          <w:bCs/>
          <w:sz w:val="20"/>
          <w:lang w:val="de-DE"/>
        </w:rPr>
        <w:t xml:space="preserve">Engagement </w:t>
      </w:r>
      <w:r w:rsidR="00587346">
        <w:rPr>
          <w:rFonts w:ascii="DIN-Bold" w:hAnsi="DIN-Bold"/>
          <w:b/>
          <w:bCs/>
          <w:sz w:val="20"/>
          <w:lang w:val="de-DE"/>
        </w:rPr>
        <w:t xml:space="preserve">von </w:t>
      </w:r>
      <w:r w:rsidR="00587346" w:rsidRPr="009C08A0">
        <w:rPr>
          <w:rFonts w:ascii="DIN-Bold" w:hAnsi="DIN-Bold"/>
          <w:b/>
          <w:bCs/>
          <w:sz w:val="20"/>
          <w:lang w:val="de-DE"/>
        </w:rPr>
        <w:t xml:space="preserve">Panasonic </w:t>
      </w:r>
      <w:r w:rsidR="009C08A0" w:rsidRPr="009C08A0">
        <w:rPr>
          <w:rFonts w:ascii="DIN-Bold" w:hAnsi="DIN-Bold"/>
          <w:b/>
          <w:bCs/>
          <w:sz w:val="20"/>
          <w:lang w:val="de-DE"/>
        </w:rPr>
        <w:t xml:space="preserve">für Nachhaltigkeit mit den beiden Schwerpunkten </w:t>
      </w:r>
      <w:r w:rsidR="00502912" w:rsidRPr="00502912">
        <w:rPr>
          <w:rFonts w:ascii="DIN-Bold" w:hAnsi="DIN-Bold"/>
          <w:b/>
          <w:bCs/>
          <w:color w:val="000000" w:themeColor="text1"/>
          <w:sz w:val="20"/>
          <w:lang w:val="de-DE"/>
        </w:rPr>
        <w:t>CO</w:t>
      </w:r>
      <w:r w:rsidR="00502912" w:rsidRPr="00502912">
        <w:rPr>
          <w:rFonts w:ascii="DIN-Bold" w:hAnsi="DIN-Bold"/>
          <w:b/>
          <w:bCs/>
          <w:color w:val="000000" w:themeColor="text1"/>
          <w:sz w:val="20"/>
          <w:vertAlign w:val="subscript"/>
          <w:lang w:val="de-DE"/>
        </w:rPr>
        <w:t>2</w:t>
      </w:r>
      <w:r w:rsidR="00502912" w:rsidRPr="00502912">
        <w:rPr>
          <w:rFonts w:ascii="DIN-Bold" w:hAnsi="DIN-Bold"/>
          <w:b/>
          <w:bCs/>
          <w:color w:val="000000" w:themeColor="text1"/>
          <w:sz w:val="20"/>
          <w:lang w:val="de-DE"/>
        </w:rPr>
        <w:t xml:space="preserve">-Neutralität </w:t>
      </w:r>
      <w:r w:rsidR="009C08A0" w:rsidRPr="009C08A0">
        <w:rPr>
          <w:rFonts w:ascii="DIN-Bold" w:hAnsi="DIN-Bold"/>
          <w:b/>
          <w:bCs/>
          <w:sz w:val="20"/>
          <w:lang w:val="de-DE"/>
        </w:rPr>
        <w:t xml:space="preserve">und Kreislaufwirtschaft wird auch auf dem neuen, über 5.000 Quadratmeter großen IFA-Stand in Halle </w:t>
      </w:r>
      <w:r w:rsidR="00587346">
        <w:rPr>
          <w:rFonts w:ascii="DIN-Bold" w:hAnsi="DIN-Bold"/>
          <w:b/>
          <w:bCs/>
          <w:sz w:val="20"/>
          <w:lang w:val="de-DE"/>
        </w:rPr>
        <w:t>„</w:t>
      </w:r>
      <w:r w:rsidR="009C08A0" w:rsidRPr="009C08A0">
        <w:rPr>
          <w:rFonts w:ascii="DIN-Bold" w:hAnsi="DIN-Bold"/>
          <w:b/>
          <w:bCs/>
          <w:sz w:val="20"/>
          <w:lang w:val="de-DE"/>
        </w:rPr>
        <w:t>HUB27</w:t>
      </w:r>
      <w:r w:rsidR="00587346">
        <w:rPr>
          <w:rFonts w:ascii="DIN-Bold" w:hAnsi="DIN-Bold"/>
          <w:b/>
          <w:bCs/>
          <w:sz w:val="20"/>
          <w:lang w:val="de-DE"/>
        </w:rPr>
        <w:t>“</w:t>
      </w:r>
      <w:r w:rsidR="009C08A0" w:rsidRPr="009C08A0">
        <w:rPr>
          <w:rFonts w:ascii="DIN-Bold" w:hAnsi="DIN-Bold"/>
          <w:b/>
          <w:bCs/>
          <w:sz w:val="20"/>
          <w:lang w:val="de-DE"/>
        </w:rPr>
        <w:t xml:space="preserve"> deutlich.</w:t>
      </w:r>
    </w:p>
    <w:p w14:paraId="60959E56" w14:textId="77777777" w:rsidR="00382D0D" w:rsidRPr="0074558C" w:rsidRDefault="00382D0D" w:rsidP="008E0C04">
      <w:pPr>
        <w:autoSpaceDE w:val="0"/>
        <w:autoSpaceDN w:val="0"/>
        <w:adjustRightInd w:val="0"/>
        <w:rPr>
          <w:rFonts w:ascii="DIN-Regular" w:hAnsi="DIN-Regular"/>
          <w:sz w:val="20"/>
          <w:lang w:val="de-DE"/>
        </w:rPr>
      </w:pPr>
    </w:p>
    <w:p w14:paraId="42907CA8" w14:textId="77777777" w:rsidR="00502912" w:rsidRDefault="009C08A0" w:rsidP="009C08A0">
      <w:pPr>
        <w:autoSpaceDE w:val="0"/>
        <w:autoSpaceDN w:val="0"/>
        <w:adjustRightInd w:val="0"/>
        <w:rPr>
          <w:rFonts w:ascii="DIN-Regular" w:hAnsi="DIN-Regular"/>
          <w:sz w:val="20"/>
          <w:lang w:val="de-DE"/>
        </w:rPr>
      </w:pPr>
      <w:r w:rsidRPr="009C08A0">
        <w:rPr>
          <w:rFonts w:ascii="DIN-Regular" w:hAnsi="DIN-Regular"/>
          <w:sz w:val="20"/>
          <w:lang w:val="de-DE"/>
        </w:rPr>
        <w:t xml:space="preserve">In der </w:t>
      </w:r>
      <w:r w:rsidR="00587346">
        <w:rPr>
          <w:rFonts w:ascii="DIN-Regular" w:hAnsi="DIN-Regular"/>
          <w:sz w:val="20"/>
          <w:lang w:val="de-DE"/>
        </w:rPr>
        <w:t>„</w:t>
      </w:r>
      <w:r w:rsidRPr="009C08A0">
        <w:rPr>
          <w:rFonts w:ascii="DIN-Regular" w:hAnsi="DIN-Regular"/>
          <w:sz w:val="20"/>
          <w:lang w:val="de-DE"/>
        </w:rPr>
        <w:t>Central Area</w:t>
      </w:r>
      <w:r w:rsidR="00587346">
        <w:rPr>
          <w:rFonts w:ascii="DIN-Regular" w:hAnsi="DIN-Regular"/>
          <w:sz w:val="20"/>
          <w:lang w:val="de-DE"/>
        </w:rPr>
        <w:t>“</w:t>
      </w:r>
      <w:r w:rsidRPr="009C08A0">
        <w:rPr>
          <w:rFonts w:ascii="DIN-Regular" w:hAnsi="DIN-Regular"/>
          <w:sz w:val="20"/>
          <w:lang w:val="de-DE"/>
        </w:rPr>
        <w:t xml:space="preserve"> des neuen Messestandes </w:t>
      </w:r>
      <w:r>
        <w:rPr>
          <w:rFonts w:ascii="DIN-Regular" w:hAnsi="DIN-Regular"/>
          <w:sz w:val="20"/>
          <w:lang w:val="de-DE"/>
        </w:rPr>
        <w:t>zeigt</w:t>
      </w:r>
      <w:r w:rsidRPr="009C08A0">
        <w:rPr>
          <w:rFonts w:ascii="DIN-Regular" w:hAnsi="DIN-Regular"/>
          <w:sz w:val="20"/>
          <w:lang w:val="de-DE"/>
        </w:rPr>
        <w:t xml:space="preserve"> Panasonic Nachhaltigkeitspilotprojekte und Energietechnologien, die die Dekarbonisierung der Gesellschaft unterstützen und helfen, weitere Umweltprobleme unseres Planeten zu lösen. </w:t>
      </w:r>
    </w:p>
    <w:p w14:paraId="0CC0AAA4" w14:textId="77777777" w:rsidR="00502912" w:rsidRDefault="00502912" w:rsidP="009C08A0">
      <w:pPr>
        <w:autoSpaceDE w:val="0"/>
        <w:autoSpaceDN w:val="0"/>
        <w:adjustRightInd w:val="0"/>
        <w:rPr>
          <w:rFonts w:ascii="DIN-Regular" w:hAnsi="DIN-Regular"/>
          <w:sz w:val="20"/>
          <w:lang w:val="de-DE"/>
        </w:rPr>
      </w:pPr>
    </w:p>
    <w:p w14:paraId="1610B997" w14:textId="23681EA4" w:rsidR="00502912" w:rsidRPr="00502912" w:rsidRDefault="00502912" w:rsidP="009C08A0">
      <w:pPr>
        <w:autoSpaceDE w:val="0"/>
        <w:autoSpaceDN w:val="0"/>
        <w:adjustRightInd w:val="0"/>
        <w:rPr>
          <w:rFonts w:ascii="DIN-Regular" w:hAnsi="DIN-Regular"/>
          <w:b/>
          <w:bCs/>
          <w:color w:val="000000" w:themeColor="text1"/>
          <w:sz w:val="20"/>
          <w:lang w:val="de-DE"/>
        </w:rPr>
      </w:pPr>
      <w:r w:rsidRPr="00502912">
        <w:rPr>
          <w:rFonts w:ascii="DIN-Regular" w:hAnsi="DIN-Regular"/>
          <w:b/>
          <w:bCs/>
          <w:color w:val="000000" w:themeColor="text1"/>
          <w:sz w:val="20"/>
          <w:lang w:val="de-DE"/>
        </w:rPr>
        <w:t>Neues Standkonzept reduziert CO</w:t>
      </w:r>
      <w:r w:rsidRPr="00502912">
        <w:rPr>
          <w:rFonts w:ascii="DIN-Regular" w:hAnsi="DIN-Regular"/>
          <w:b/>
          <w:bCs/>
          <w:color w:val="000000" w:themeColor="text1"/>
          <w:sz w:val="20"/>
          <w:vertAlign w:val="subscript"/>
          <w:lang w:val="de-DE"/>
        </w:rPr>
        <w:t>2</w:t>
      </w:r>
      <w:r w:rsidR="00A43F22">
        <w:rPr>
          <w:rFonts w:ascii="DIN-Regular" w:hAnsi="DIN-Regular"/>
          <w:b/>
          <w:bCs/>
          <w:color w:val="000000" w:themeColor="text1"/>
          <w:sz w:val="20"/>
          <w:lang w:val="de-DE"/>
        </w:rPr>
        <w:t>-</w:t>
      </w:r>
      <w:r w:rsidRPr="00502912">
        <w:rPr>
          <w:rFonts w:ascii="DIN-Regular" w:hAnsi="DIN-Regular"/>
          <w:b/>
          <w:bCs/>
          <w:color w:val="000000" w:themeColor="text1"/>
          <w:sz w:val="20"/>
          <w:lang w:val="de-DE"/>
        </w:rPr>
        <w:t>Emissionen um mehr als 70%</w:t>
      </w:r>
    </w:p>
    <w:p w14:paraId="771D9781" w14:textId="48F52B40" w:rsidR="009C08A0" w:rsidRPr="009C08A0" w:rsidRDefault="009C08A0" w:rsidP="009C08A0">
      <w:pPr>
        <w:autoSpaceDE w:val="0"/>
        <w:autoSpaceDN w:val="0"/>
        <w:adjustRightInd w:val="0"/>
        <w:rPr>
          <w:rFonts w:ascii="DIN-Regular" w:hAnsi="DIN-Regular"/>
          <w:sz w:val="20"/>
          <w:lang w:val="de-DE"/>
        </w:rPr>
      </w:pPr>
      <w:r w:rsidRPr="009C08A0">
        <w:rPr>
          <w:rFonts w:ascii="DIN-Regular" w:hAnsi="DIN-Regular"/>
          <w:sz w:val="20"/>
          <w:lang w:val="de-DE"/>
        </w:rPr>
        <w:t>Mit dem Ziel, den CO</w:t>
      </w:r>
      <w:r w:rsidRPr="009C08A0">
        <w:rPr>
          <w:rFonts w:ascii="DIN-Regular" w:hAnsi="DIN-Regular"/>
          <w:sz w:val="20"/>
          <w:vertAlign w:val="subscript"/>
          <w:lang w:val="de-DE"/>
        </w:rPr>
        <w:t>2</w:t>
      </w:r>
      <w:r w:rsidRPr="009C08A0">
        <w:rPr>
          <w:rFonts w:ascii="DIN-Regular" w:hAnsi="DIN-Regular"/>
          <w:sz w:val="20"/>
          <w:lang w:val="de-DE"/>
        </w:rPr>
        <w:t xml:space="preserve">-Fußabdruck deutlich zu reduzieren, wurden das Standkonzept und </w:t>
      </w:r>
      <w:r>
        <w:rPr>
          <w:rFonts w:ascii="DIN-Regular" w:hAnsi="DIN-Regular"/>
          <w:sz w:val="20"/>
          <w:lang w:val="de-DE"/>
        </w:rPr>
        <w:t>-d</w:t>
      </w:r>
      <w:r w:rsidRPr="009C08A0">
        <w:rPr>
          <w:rFonts w:ascii="DIN-Regular" w:hAnsi="DIN-Regular"/>
          <w:sz w:val="20"/>
          <w:lang w:val="de-DE"/>
        </w:rPr>
        <w:t xml:space="preserve">esign neu entwickelt, was zu einer </w:t>
      </w:r>
      <w:r>
        <w:rPr>
          <w:rFonts w:ascii="DIN-Regular" w:hAnsi="DIN-Regular"/>
          <w:sz w:val="20"/>
          <w:lang w:val="de-DE"/>
        </w:rPr>
        <w:t>R</w:t>
      </w:r>
      <w:r w:rsidRPr="009C08A0">
        <w:rPr>
          <w:rFonts w:ascii="DIN-Regular" w:hAnsi="DIN-Regular"/>
          <w:sz w:val="20"/>
          <w:lang w:val="de-DE"/>
        </w:rPr>
        <w:t xml:space="preserve">eduzierung </w:t>
      </w:r>
      <w:r w:rsidR="00EE012E">
        <w:rPr>
          <w:rFonts w:ascii="DIN-Regular" w:hAnsi="DIN-Regular"/>
          <w:sz w:val="20"/>
          <w:lang w:val="de-DE"/>
        </w:rPr>
        <w:t xml:space="preserve">der </w:t>
      </w:r>
      <w:r w:rsidR="00EE012E" w:rsidRPr="009C08A0">
        <w:rPr>
          <w:rFonts w:ascii="DIN-Regular" w:hAnsi="DIN-Regular"/>
          <w:sz w:val="20"/>
          <w:lang w:val="de-DE"/>
        </w:rPr>
        <w:t>CO</w:t>
      </w:r>
      <w:r w:rsidR="00EE012E" w:rsidRPr="009C08A0">
        <w:rPr>
          <w:rFonts w:ascii="DIN-Regular" w:hAnsi="DIN-Regular"/>
          <w:sz w:val="20"/>
          <w:vertAlign w:val="subscript"/>
          <w:lang w:val="de-DE"/>
        </w:rPr>
        <w:t>2</w:t>
      </w:r>
      <w:r w:rsidR="00EE012E" w:rsidRPr="009C08A0">
        <w:rPr>
          <w:rFonts w:ascii="DIN-Regular" w:hAnsi="DIN-Regular"/>
          <w:sz w:val="20"/>
          <w:lang w:val="de-DE"/>
        </w:rPr>
        <w:t xml:space="preserve">-Emissionen </w:t>
      </w:r>
      <w:r w:rsidR="00EE012E">
        <w:rPr>
          <w:rFonts w:ascii="DIN-Regular" w:hAnsi="DIN-Regular"/>
          <w:sz w:val="20"/>
          <w:lang w:val="de-DE"/>
        </w:rPr>
        <w:t>um 71 Prozent und damit</w:t>
      </w:r>
      <w:r w:rsidRPr="009C08A0">
        <w:rPr>
          <w:rFonts w:ascii="DIN-Regular" w:hAnsi="DIN-Regular"/>
          <w:sz w:val="20"/>
          <w:lang w:val="de-DE"/>
        </w:rPr>
        <w:t xml:space="preserve"> 140 Tonnen im Vergleich zu 2019 führt</w:t>
      </w:r>
      <w:r w:rsidR="00EE012E" w:rsidRPr="009C08A0">
        <w:rPr>
          <w:rFonts w:ascii="DIN-Regular" w:hAnsi="DIN-Regular"/>
          <w:sz w:val="20"/>
          <w:lang w:val="de-DE"/>
        </w:rPr>
        <w:t>, wie Berechnungen nach dem GHG (Green House Gas) Protocol zeigen</w:t>
      </w:r>
      <w:r w:rsidRPr="009C08A0">
        <w:rPr>
          <w:rFonts w:ascii="DIN-Regular" w:hAnsi="DIN-Regular"/>
          <w:sz w:val="20"/>
          <w:lang w:val="de-DE"/>
        </w:rPr>
        <w:t xml:space="preserve">. Diese Einsparungen wurden </w:t>
      </w:r>
      <w:r w:rsidR="00EE012E">
        <w:rPr>
          <w:rFonts w:ascii="DIN-Regular" w:hAnsi="DIN-Regular"/>
          <w:sz w:val="20"/>
          <w:lang w:val="de-DE"/>
        </w:rPr>
        <w:t xml:space="preserve">vorrangig </w:t>
      </w:r>
      <w:r w:rsidRPr="009C08A0">
        <w:rPr>
          <w:rFonts w:ascii="DIN-Regular" w:hAnsi="DIN-Regular"/>
          <w:sz w:val="20"/>
          <w:lang w:val="de-DE"/>
        </w:rPr>
        <w:t xml:space="preserve">durch </w:t>
      </w:r>
      <w:r w:rsidR="00502912" w:rsidRPr="00502912">
        <w:rPr>
          <w:rFonts w:ascii="DIN-Regular" w:hAnsi="DIN-Regular"/>
          <w:color w:val="000000" w:themeColor="text1"/>
          <w:sz w:val="20"/>
          <w:lang w:val="de-DE"/>
        </w:rPr>
        <w:t xml:space="preserve">Einsparungen in der Logistik (Transport von Materialien und Produkten), </w:t>
      </w:r>
      <w:r w:rsidRPr="00502912">
        <w:rPr>
          <w:rFonts w:ascii="DIN-Regular" w:hAnsi="DIN-Regular"/>
          <w:color w:val="000000" w:themeColor="text1"/>
          <w:sz w:val="20"/>
          <w:lang w:val="de-DE"/>
        </w:rPr>
        <w:t>die sorgfältige Au</w:t>
      </w:r>
      <w:r w:rsidRPr="009C08A0">
        <w:rPr>
          <w:rFonts w:ascii="DIN-Regular" w:hAnsi="DIN-Regular"/>
          <w:sz w:val="20"/>
          <w:lang w:val="de-DE"/>
        </w:rPr>
        <w:t xml:space="preserve">swahl der Materialien, die Art der Produktpräsentation und die Dekoration der Wände erzielt. 140 Tonnen eingesparte und vermiedene </w:t>
      </w:r>
      <w:r w:rsidR="00EE012E">
        <w:rPr>
          <w:rFonts w:ascii="DIN-Regular" w:hAnsi="DIN-Regular"/>
          <w:sz w:val="20"/>
          <w:lang w:val="de-DE"/>
        </w:rPr>
        <w:t>CO</w:t>
      </w:r>
      <w:r w:rsidR="00EE012E" w:rsidRPr="00EE012E">
        <w:rPr>
          <w:rFonts w:ascii="DIN-Regular" w:hAnsi="DIN-Regular"/>
          <w:sz w:val="20"/>
          <w:vertAlign w:val="subscript"/>
          <w:lang w:val="de-DE"/>
        </w:rPr>
        <w:t>2</w:t>
      </w:r>
      <w:r w:rsidR="00EE012E">
        <w:rPr>
          <w:rFonts w:ascii="DIN-Regular" w:hAnsi="DIN-Regular"/>
          <w:sz w:val="20"/>
          <w:lang w:val="de-DE"/>
        </w:rPr>
        <w:t>-</w:t>
      </w:r>
      <w:r w:rsidRPr="009C08A0">
        <w:rPr>
          <w:rFonts w:ascii="DIN-Regular" w:hAnsi="DIN-Regular"/>
          <w:sz w:val="20"/>
          <w:lang w:val="de-DE"/>
        </w:rPr>
        <w:t>Emissionen entsprechen</w:t>
      </w:r>
      <w:r w:rsidR="00EE012E" w:rsidRPr="00EE012E">
        <w:rPr>
          <w:rFonts w:ascii="DIN-Regular" w:hAnsi="DIN-Regular"/>
          <w:sz w:val="20"/>
          <w:lang w:val="de-DE"/>
        </w:rPr>
        <w:t xml:space="preserve"> </w:t>
      </w:r>
      <w:r w:rsidR="00EE012E" w:rsidRPr="009C08A0">
        <w:rPr>
          <w:rFonts w:ascii="DIN-Regular" w:hAnsi="DIN-Regular"/>
          <w:sz w:val="20"/>
          <w:lang w:val="de-DE"/>
        </w:rPr>
        <w:t>dem CO</w:t>
      </w:r>
      <w:r w:rsidR="00EE012E" w:rsidRPr="00EE012E">
        <w:rPr>
          <w:rFonts w:ascii="DIN-Regular" w:hAnsi="DIN-Regular"/>
          <w:sz w:val="20"/>
          <w:vertAlign w:val="subscript"/>
          <w:lang w:val="de-DE"/>
        </w:rPr>
        <w:t>2</w:t>
      </w:r>
      <w:r w:rsidR="00EE012E" w:rsidRPr="009C08A0">
        <w:rPr>
          <w:rFonts w:ascii="DIN-Regular" w:hAnsi="DIN-Regular"/>
          <w:sz w:val="20"/>
          <w:lang w:val="de-DE"/>
        </w:rPr>
        <w:t>-Ausstoß eines Mittelklassewagens mit Verbrennungsmotor</w:t>
      </w:r>
      <w:r w:rsidR="004D1B37">
        <w:rPr>
          <w:rFonts w:ascii="DIN-Regular" w:hAnsi="DIN-Regular"/>
          <w:sz w:val="20"/>
          <w:lang w:val="de-DE"/>
        </w:rPr>
        <w:t xml:space="preserve"> auf einer Strecke von rund</w:t>
      </w:r>
      <w:r w:rsidR="00EE012E" w:rsidRPr="009C08A0">
        <w:rPr>
          <w:rFonts w:ascii="DIN-Regular" w:hAnsi="DIN-Regular"/>
          <w:sz w:val="20"/>
          <w:lang w:val="de-DE"/>
        </w:rPr>
        <w:t xml:space="preserve"> </w:t>
      </w:r>
      <w:r w:rsidR="00EE012E">
        <w:rPr>
          <w:rFonts w:ascii="DIN-Regular" w:hAnsi="DIN-Regular"/>
          <w:sz w:val="20"/>
          <w:lang w:val="de-DE"/>
        </w:rPr>
        <w:t>ein</w:t>
      </w:r>
      <w:r w:rsidR="004D1B37">
        <w:rPr>
          <w:rFonts w:ascii="DIN-Regular" w:hAnsi="DIN-Regular"/>
          <w:sz w:val="20"/>
          <w:lang w:val="de-DE"/>
        </w:rPr>
        <w:t>e</w:t>
      </w:r>
      <w:r w:rsidR="00EE012E" w:rsidRPr="009C08A0">
        <w:rPr>
          <w:rFonts w:ascii="DIN-Regular" w:hAnsi="DIN-Regular"/>
          <w:sz w:val="20"/>
          <w:lang w:val="de-DE"/>
        </w:rPr>
        <w:t xml:space="preserve"> Million Kilometer</w:t>
      </w:r>
      <w:r w:rsidR="004D1B37">
        <w:rPr>
          <w:rFonts w:ascii="DIN-Regular" w:hAnsi="DIN-Regular"/>
          <w:sz w:val="20"/>
          <w:lang w:val="de-DE"/>
        </w:rPr>
        <w:t>n</w:t>
      </w:r>
      <w:r w:rsidRPr="009C08A0">
        <w:rPr>
          <w:rFonts w:ascii="DIN-Regular" w:hAnsi="DIN-Regular"/>
          <w:sz w:val="20"/>
          <w:lang w:val="de-DE"/>
        </w:rPr>
        <w:t>.</w:t>
      </w:r>
    </w:p>
    <w:p w14:paraId="65B23F69" w14:textId="77777777" w:rsidR="0074558C" w:rsidRPr="0074558C" w:rsidRDefault="0074558C" w:rsidP="0074558C">
      <w:pPr>
        <w:autoSpaceDE w:val="0"/>
        <w:autoSpaceDN w:val="0"/>
        <w:adjustRightInd w:val="0"/>
        <w:rPr>
          <w:rFonts w:ascii="DIN-Regular" w:hAnsi="DIN-Regular"/>
          <w:sz w:val="20"/>
          <w:lang w:val="de-DE"/>
        </w:rPr>
      </w:pPr>
    </w:p>
    <w:p w14:paraId="46762BD6" w14:textId="4010429F" w:rsidR="004D1B37" w:rsidRPr="004D1B37" w:rsidRDefault="00EB3E7B" w:rsidP="004D1B37">
      <w:pPr>
        <w:autoSpaceDE w:val="0"/>
        <w:autoSpaceDN w:val="0"/>
        <w:adjustRightInd w:val="0"/>
        <w:rPr>
          <w:rFonts w:ascii="DIN-Regular" w:hAnsi="DIN-Regular"/>
          <w:sz w:val="20"/>
          <w:lang w:val="de-DE"/>
        </w:rPr>
      </w:pPr>
      <w:r>
        <w:rPr>
          <w:rFonts w:ascii="DIN-Regular" w:hAnsi="DIN-Regular"/>
          <w:sz w:val="20"/>
          <w:lang w:val="de-DE"/>
        </w:rPr>
        <w:t>„</w:t>
      </w:r>
      <w:r w:rsidR="004D1B37" w:rsidRPr="004D1B37">
        <w:rPr>
          <w:rFonts w:ascii="DIN-Regular" w:hAnsi="DIN-Regular"/>
          <w:sz w:val="20"/>
          <w:lang w:val="de-DE"/>
        </w:rPr>
        <w:t xml:space="preserve">Europa ist im Bereich der Nachhaltigkeit sehr fortschrittlich und daher eine Schlüsselregion, wenn es darum geht, unsere Umweltagenda voranzutreiben. Um den Nachhaltigkeitsauftrag in unserer Geschäftsstrategie zu verankern, hat die Panasonic Group </w:t>
      </w:r>
      <w:r>
        <w:rPr>
          <w:rFonts w:ascii="DIN-Regular" w:hAnsi="DIN-Regular"/>
          <w:sz w:val="20"/>
          <w:lang w:val="de-DE"/>
        </w:rPr>
        <w:t>‚</w:t>
      </w:r>
      <w:r w:rsidR="004D1B37" w:rsidRPr="004D1B37">
        <w:rPr>
          <w:rFonts w:ascii="DIN-Regular" w:hAnsi="DIN-Regular"/>
          <w:sz w:val="20"/>
          <w:lang w:val="de-DE"/>
        </w:rPr>
        <w:t>GREEN IMPACT</w:t>
      </w:r>
      <w:r>
        <w:rPr>
          <w:rFonts w:ascii="DIN-Regular" w:hAnsi="DIN-Regular"/>
          <w:sz w:val="20"/>
          <w:lang w:val="de-DE"/>
        </w:rPr>
        <w:t>‘</w:t>
      </w:r>
      <w:r w:rsidR="004D1B37" w:rsidRPr="004D1B37">
        <w:rPr>
          <w:rFonts w:ascii="DIN-Regular" w:hAnsi="DIN-Regular"/>
          <w:sz w:val="20"/>
          <w:lang w:val="de-DE"/>
        </w:rPr>
        <w:t xml:space="preserve"> ins Leben gerufen, eine strategische Vision, die unser Engagement und unsere Maßnahmen für </w:t>
      </w:r>
      <w:r>
        <w:rPr>
          <w:rFonts w:ascii="DIN-Regular" w:hAnsi="DIN-Regular"/>
          <w:sz w:val="20"/>
          <w:lang w:val="de-DE"/>
        </w:rPr>
        <w:t>‚</w:t>
      </w:r>
      <w:r w:rsidR="004D1B37" w:rsidRPr="004D1B37">
        <w:rPr>
          <w:rFonts w:ascii="DIN-Regular" w:hAnsi="DIN-Regular"/>
          <w:sz w:val="20"/>
          <w:lang w:val="de-DE"/>
        </w:rPr>
        <w:t>Net Zero</w:t>
      </w:r>
      <w:r>
        <w:rPr>
          <w:rFonts w:ascii="DIN-Regular" w:hAnsi="DIN-Regular"/>
          <w:sz w:val="20"/>
          <w:lang w:val="de-DE"/>
        </w:rPr>
        <w:t>‘</w:t>
      </w:r>
      <w:r w:rsidR="004D1B37" w:rsidRPr="004D1B37">
        <w:rPr>
          <w:rFonts w:ascii="DIN-Regular" w:hAnsi="DIN-Regular"/>
          <w:sz w:val="20"/>
          <w:lang w:val="de-DE"/>
        </w:rPr>
        <w:t xml:space="preserve"> bis 2050 umreißt</w:t>
      </w:r>
      <w:r>
        <w:rPr>
          <w:rFonts w:ascii="DIN-Regular" w:hAnsi="DIN-Regular"/>
          <w:sz w:val="20"/>
          <w:lang w:val="de-DE"/>
        </w:rPr>
        <w:t>“</w:t>
      </w:r>
      <w:r w:rsidR="004D1B37" w:rsidRPr="004D1B37">
        <w:rPr>
          <w:rFonts w:ascii="DIN-Regular" w:hAnsi="DIN-Regular"/>
          <w:sz w:val="20"/>
          <w:lang w:val="de-DE"/>
        </w:rPr>
        <w:t xml:space="preserve">, erklärt Masahiro </w:t>
      </w:r>
      <w:proofErr w:type="spellStart"/>
      <w:r w:rsidR="004D1B37" w:rsidRPr="004D1B37">
        <w:rPr>
          <w:rFonts w:ascii="DIN-Regular" w:hAnsi="DIN-Regular"/>
          <w:sz w:val="20"/>
          <w:lang w:val="de-DE"/>
        </w:rPr>
        <w:t>Shinada</w:t>
      </w:r>
      <w:proofErr w:type="spellEnd"/>
      <w:r w:rsidR="004D1B37" w:rsidRPr="004D1B37">
        <w:rPr>
          <w:rFonts w:ascii="DIN-Regular" w:hAnsi="DIN-Regular"/>
          <w:sz w:val="20"/>
          <w:lang w:val="de-DE"/>
        </w:rPr>
        <w:t>, Präsident und CEO der Panasonic Corporation.</w:t>
      </w:r>
      <w:r w:rsidR="004D1B37">
        <w:rPr>
          <w:rFonts w:ascii="DIN-Regular" w:hAnsi="DIN-Regular"/>
          <w:sz w:val="20"/>
          <w:lang w:val="de-DE"/>
        </w:rPr>
        <w:t xml:space="preserve"> </w:t>
      </w:r>
      <w:r w:rsidR="004D1B37" w:rsidRPr="004D1B37">
        <w:rPr>
          <w:rFonts w:ascii="DIN-Regular" w:hAnsi="DIN-Regular"/>
          <w:sz w:val="20"/>
          <w:lang w:val="de-DE"/>
        </w:rPr>
        <w:t xml:space="preserve">Auf </w:t>
      </w:r>
      <w:r w:rsidR="004D1B37" w:rsidRPr="004D1B37">
        <w:rPr>
          <w:rFonts w:ascii="DIN-Regular" w:hAnsi="DIN-Regular"/>
          <w:sz w:val="20"/>
          <w:lang w:val="de-DE"/>
        </w:rPr>
        <w:lastRenderedPageBreak/>
        <w:t>dem IFA-Stand von Panasonic werden einige Lösungen und Pilotprojekte gezeigt, die bereits heute eine grüne Wirkung haben.</w:t>
      </w:r>
    </w:p>
    <w:p w14:paraId="28477E95" w14:textId="77777777" w:rsidR="00D31041" w:rsidRPr="0074558C" w:rsidRDefault="00D31041" w:rsidP="00AE1FBF">
      <w:pPr>
        <w:autoSpaceDE w:val="0"/>
        <w:autoSpaceDN w:val="0"/>
        <w:adjustRightInd w:val="0"/>
        <w:rPr>
          <w:rFonts w:ascii="DIN-Regular" w:hAnsi="DIN-Regular"/>
          <w:sz w:val="20"/>
          <w:lang w:val="de-DE"/>
        </w:rPr>
      </w:pPr>
    </w:p>
    <w:p w14:paraId="437B35F4" w14:textId="25182162" w:rsidR="004D1B37" w:rsidRDefault="001B5C20" w:rsidP="004D1B37">
      <w:pPr>
        <w:autoSpaceDE w:val="0"/>
        <w:autoSpaceDN w:val="0"/>
        <w:adjustRightInd w:val="0"/>
        <w:rPr>
          <w:rFonts w:ascii="DIN-Bold" w:hAnsi="DIN-Bold"/>
          <w:b/>
          <w:bCs/>
          <w:sz w:val="20"/>
          <w:lang w:val="de-DE"/>
        </w:rPr>
      </w:pPr>
      <w:r>
        <w:rPr>
          <w:rFonts w:ascii="DIN-Bold" w:hAnsi="DIN-Bold"/>
          <w:b/>
          <w:bCs/>
          <w:sz w:val="20"/>
          <w:lang w:val="de-DE"/>
        </w:rPr>
        <w:t>CO</w:t>
      </w:r>
      <w:r w:rsidRPr="001B5C20">
        <w:rPr>
          <w:rFonts w:ascii="DIN-Bold" w:hAnsi="DIN-Bold"/>
          <w:b/>
          <w:bCs/>
          <w:sz w:val="20"/>
          <w:vertAlign w:val="subscript"/>
          <w:lang w:val="de-DE"/>
        </w:rPr>
        <w:t>2</w:t>
      </w:r>
      <w:r>
        <w:rPr>
          <w:rFonts w:ascii="DIN-Bold" w:hAnsi="DIN-Bold"/>
          <w:b/>
          <w:bCs/>
          <w:sz w:val="20"/>
          <w:lang w:val="de-DE"/>
        </w:rPr>
        <w:t>-N</w:t>
      </w:r>
      <w:r w:rsidR="004D1B37" w:rsidRPr="004D1B37">
        <w:rPr>
          <w:rFonts w:ascii="DIN-Bold" w:hAnsi="DIN-Bold"/>
          <w:b/>
          <w:bCs/>
          <w:sz w:val="20"/>
          <w:lang w:val="de-DE"/>
        </w:rPr>
        <w:t>eutralität: grünes und erschwingliches Heizen</w:t>
      </w:r>
      <w:r w:rsidR="00FB012A" w:rsidRPr="0074558C">
        <w:rPr>
          <w:rFonts w:ascii="DIN-Bold" w:hAnsi="DIN-Bold"/>
          <w:b/>
          <w:bCs/>
          <w:sz w:val="20"/>
          <w:lang w:val="de-DE"/>
        </w:rPr>
        <w:t xml:space="preserve"> </w:t>
      </w:r>
    </w:p>
    <w:p w14:paraId="29A020AB" w14:textId="12D50669" w:rsidR="000A23A0" w:rsidRPr="000A23A0" w:rsidRDefault="000A23A0" w:rsidP="000A23A0">
      <w:pPr>
        <w:autoSpaceDE w:val="0"/>
        <w:autoSpaceDN w:val="0"/>
        <w:adjustRightInd w:val="0"/>
        <w:rPr>
          <w:rFonts w:ascii="DIN-Regular" w:hAnsi="DIN-Regular"/>
          <w:sz w:val="20"/>
          <w:lang w:val="de-DE"/>
        </w:rPr>
      </w:pPr>
      <w:r w:rsidRPr="000A23A0">
        <w:rPr>
          <w:rFonts w:ascii="DIN-Regular" w:hAnsi="DIN-Regular"/>
          <w:sz w:val="20"/>
          <w:lang w:val="de-DE"/>
        </w:rPr>
        <w:t xml:space="preserve">Nachhaltige und erschwingliche Heiz- und Kühllösungen für Privathäuser, Büros und andere gewerbliche Räume werden immer häufiger benötigt. Mit dem neuen </w:t>
      </w:r>
      <w:hyperlink r:id="rId13" w:history="1">
        <w:proofErr w:type="spellStart"/>
        <w:r w:rsidRPr="000A23A0">
          <w:rPr>
            <w:rStyle w:val="Hyperlink"/>
            <w:rFonts w:ascii="DIN-Regular" w:hAnsi="DIN-Regular"/>
            <w:sz w:val="20"/>
            <w:lang w:val="de-DE"/>
          </w:rPr>
          <w:t>Aquarea</w:t>
        </w:r>
        <w:proofErr w:type="spellEnd"/>
        <w:r w:rsidRPr="000A23A0">
          <w:rPr>
            <w:rStyle w:val="Hyperlink"/>
            <w:rFonts w:ascii="DIN-Regular" w:hAnsi="DIN-Regular"/>
            <w:sz w:val="20"/>
            <w:lang w:val="de-DE"/>
          </w:rPr>
          <w:t xml:space="preserve"> </w:t>
        </w:r>
        <w:proofErr w:type="spellStart"/>
        <w:r w:rsidRPr="000A23A0">
          <w:rPr>
            <w:rStyle w:val="Hyperlink"/>
            <w:rFonts w:ascii="DIN-Regular" w:hAnsi="DIN-Regular"/>
            <w:sz w:val="20"/>
            <w:lang w:val="de-DE"/>
          </w:rPr>
          <w:t>EcoFleX</w:t>
        </w:r>
        <w:proofErr w:type="spellEnd"/>
        <w:r w:rsidRPr="000A23A0">
          <w:rPr>
            <w:rStyle w:val="Hyperlink"/>
            <w:rFonts w:ascii="DIN-Regular" w:hAnsi="DIN-Regular"/>
            <w:sz w:val="20"/>
            <w:lang w:val="de-DE"/>
          </w:rPr>
          <w:t>-System</w:t>
        </w:r>
      </w:hyperlink>
      <w:r w:rsidRPr="000A23A0">
        <w:rPr>
          <w:rFonts w:ascii="DIN-Regular" w:hAnsi="DIN-Regular"/>
          <w:sz w:val="20"/>
          <w:lang w:val="de-DE"/>
        </w:rPr>
        <w:t xml:space="preserve"> verbindet Panasonic ein L</w:t>
      </w:r>
      <w:r w:rsidR="005372E0">
        <w:rPr>
          <w:rFonts w:ascii="DIN-Regular" w:hAnsi="DIN-Regular"/>
          <w:sz w:val="20"/>
          <w:lang w:val="de-DE"/>
        </w:rPr>
        <w:t>üftungs</w:t>
      </w:r>
      <w:r w:rsidRPr="000A23A0">
        <w:rPr>
          <w:rFonts w:ascii="DIN-Regular" w:hAnsi="DIN-Regular"/>
          <w:sz w:val="20"/>
          <w:lang w:val="de-DE"/>
        </w:rPr>
        <w:t xml:space="preserve">gerät mit </w:t>
      </w:r>
      <w:proofErr w:type="spellStart"/>
      <w:r w:rsidRPr="000A23A0">
        <w:rPr>
          <w:rFonts w:ascii="DIN-Regular" w:hAnsi="DIN-Regular"/>
          <w:sz w:val="20"/>
          <w:lang w:val="de-DE"/>
        </w:rPr>
        <w:t>nanoe</w:t>
      </w:r>
      <w:proofErr w:type="spellEnd"/>
      <w:r w:rsidRPr="000A23A0">
        <w:rPr>
          <w:rFonts w:ascii="DIN-Regular" w:hAnsi="DIN-Regular"/>
          <w:sz w:val="20"/>
          <w:lang w:val="de-DE"/>
        </w:rPr>
        <w:t xml:space="preserve">™ X-Technologie und eine Luft-Wasser-Wärmepumpe von </w:t>
      </w:r>
      <w:proofErr w:type="spellStart"/>
      <w:r w:rsidRPr="000A23A0">
        <w:rPr>
          <w:rFonts w:ascii="DIN-Regular" w:hAnsi="DIN-Regular"/>
          <w:sz w:val="20"/>
          <w:lang w:val="de-DE"/>
        </w:rPr>
        <w:t>Aquarea</w:t>
      </w:r>
      <w:proofErr w:type="spellEnd"/>
      <w:r w:rsidRPr="000A23A0">
        <w:rPr>
          <w:rFonts w:ascii="DIN-Regular" w:hAnsi="DIN-Regular"/>
          <w:sz w:val="20"/>
          <w:lang w:val="de-DE"/>
        </w:rPr>
        <w:t xml:space="preserve"> </w:t>
      </w:r>
      <w:r w:rsidR="005372E0">
        <w:rPr>
          <w:rFonts w:ascii="DIN-Regular" w:hAnsi="DIN-Regular"/>
          <w:sz w:val="20"/>
          <w:lang w:val="de-DE"/>
        </w:rPr>
        <w:softHyphen/>
        <w:t>–</w:t>
      </w:r>
      <w:r w:rsidRPr="000A23A0">
        <w:rPr>
          <w:rFonts w:ascii="DIN-Regular" w:hAnsi="DIN-Regular"/>
          <w:sz w:val="20"/>
          <w:lang w:val="de-DE"/>
        </w:rPr>
        <w:t xml:space="preserve"> oder anders ausgedrückt: Es kombiniert Klimatisierung mit Luftreinigung</w:t>
      </w:r>
      <w:r w:rsidR="005372E0">
        <w:rPr>
          <w:rFonts w:ascii="DIN-Regular" w:hAnsi="DIN-Regular"/>
          <w:sz w:val="20"/>
          <w:lang w:val="de-DE"/>
        </w:rPr>
        <w:t xml:space="preserve"> in einem System</w:t>
      </w:r>
      <w:r w:rsidRPr="000A23A0">
        <w:rPr>
          <w:rFonts w:ascii="DIN-Regular" w:hAnsi="DIN-Regular"/>
          <w:sz w:val="20"/>
          <w:lang w:val="de-DE"/>
        </w:rPr>
        <w:t xml:space="preserve">. Das innovative Hybridsystem bietet energieeffiziente Raumheizung, Raumkühlung, saubere Luft und Warmwasser-Wärmerückgewinnung. Ausgestattet mit der patentierten </w:t>
      </w:r>
      <w:proofErr w:type="spellStart"/>
      <w:r w:rsidRPr="000A23A0">
        <w:rPr>
          <w:rFonts w:ascii="DIN-Regular" w:hAnsi="DIN-Regular"/>
          <w:sz w:val="20"/>
          <w:lang w:val="de-DE"/>
        </w:rPr>
        <w:t>nanoe</w:t>
      </w:r>
      <w:proofErr w:type="spellEnd"/>
      <w:r w:rsidRPr="000A23A0">
        <w:rPr>
          <w:rFonts w:ascii="DIN-Regular" w:hAnsi="DIN-Regular"/>
          <w:sz w:val="20"/>
          <w:lang w:val="de-DE"/>
        </w:rPr>
        <w:t xml:space="preserve">™ X-Technologie von Panasonic hemmt es zudem fünf Arten von Schadstoffen, darunter bestimmte Bakterien und Viren, sowie Gerüche und sorgt so für ein perfekt klimatisiertes Ambiente und saubere Luft, was zu einem verbesserten räumlichen Wohlbefinden beiträgt. </w:t>
      </w:r>
    </w:p>
    <w:p w14:paraId="6961CAF0" w14:textId="7BF6ED53" w:rsidR="00F543F2" w:rsidRPr="0074558C" w:rsidRDefault="005372E0" w:rsidP="0074558C">
      <w:pPr>
        <w:pStyle w:val="pf0"/>
        <w:rPr>
          <w:lang w:val="de-DE"/>
        </w:rPr>
      </w:pPr>
      <w:r w:rsidRPr="005372E0">
        <w:rPr>
          <w:rFonts w:ascii="DIN-Regular" w:eastAsiaTheme="minorEastAsia" w:hAnsi="DIN-Regular"/>
          <w:sz w:val="20"/>
          <w:szCs w:val="20"/>
          <w:lang w:val="de-DE" w:eastAsia="en-US"/>
        </w:rPr>
        <w:t xml:space="preserve">Die </w:t>
      </w:r>
      <w:proofErr w:type="spellStart"/>
      <w:r w:rsidRPr="005372E0">
        <w:rPr>
          <w:rFonts w:ascii="DIN-Regular" w:eastAsiaTheme="minorEastAsia" w:hAnsi="DIN-Regular"/>
          <w:sz w:val="20"/>
          <w:szCs w:val="20"/>
          <w:lang w:val="de-DE" w:eastAsia="en-US"/>
        </w:rPr>
        <w:t>Aquarea</w:t>
      </w:r>
      <w:proofErr w:type="spellEnd"/>
      <w:r w:rsidRPr="005372E0">
        <w:rPr>
          <w:rFonts w:ascii="DIN-Regular" w:eastAsiaTheme="minorEastAsia" w:hAnsi="DIN-Regular"/>
          <w:sz w:val="20"/>
          <w:szCs w:val="20"/>
          <w:lang w:val="de-DE" w:eastAsia="en-US"/>
        </w:rPr>
        <w:t xml:space="preserve"> </w:t>
      </w:r>
      <w:proofErr w:type="spellStart"/>
      <w:r w:rsidRPr="005372E0">
        <w:rPr>
          <w:rFonts w:ascii="DIN-Regular" w:eastAsiaTheme="minorEastAsia" w:hAnsi="DIN-Regular"/>
          <w:sz w:val="20"/>
          <w:szCs w:val="20"/>
          <w:lang w:val="de-DE" w:eastAsia="en-US"/>
        </w:rPr>
        <w:t>EcoFleX</w:t>
      </w:r>
      <w:proofErr w:type="spellEnd"/>
      <w:r w:rsidRPr="005372E0">
        <w:rPr>
          <w:rFonts w:ascii="DIN-Regular" w:eastAsiaTheme="minorEastAsia" w:hAnsi="DIN-Regular"/>
          <w:sz w:val="20"/>
          <w:szCs w:val="20"/>
          <w:lang w:val="de-DE" w:eastAsia="en-US"/>
        </w:rPr>
        <w:t xml:space="preserve">-Regelung ist standardmäßig mit Wi-Fi ausgestattet. Das ermöglicht eine intelligente Steuerung und die kontinuierliche Überwachung des Energieverbrauchs. Der Wi-Fi-Adapter ist bereits im Lieferumfang enthalten und erlaubt eine sofortige Verbindung über die Panasonic Comfort Cloud App. Die </w:t>
      </w:r>
      <w:proofErr w:type="spellStart"/>
      <w:r w:rsidRPr="005372E0">
        <w:rPr>
          <w:rFonts w:ascii="DIN-Regular" w:eastAsiaTheme="minorEastAsia" w:hAnsi="DIN-Regular"/>
          <w:sz w:val="20"/>
          <w:szCs w:val="20"/>
          <w:lang w:val="de-DE" w:eastAsia="en-US"/>
        </w:rPr>
        <w:t>EcoFleX</w:t>
      </w:r>
      <w:proofErr w:type="spellEnd"/>
      <w:r w:rsidRPr="005372E0">
        <w:rPr>
          <w:rFonts w:ascii="DIN-Regular" w:eastAsiaTheme="minorEastAsia" w:hAnsi="DIN-Regular"/>
          <w:sz w:val="20"/>
          <w:szCs w:val="20"/>
          <w:lang w:val="de-DE" w:eastAsia="en-US"/>
        </w:rPr>
        <w:t xml:space="preserve">-Systeme können zudem mit der </w:t>
      </w:r>
      <w:proofErr w:type="spellStart"/>
      <w:r w:rsidRPr="005372E0">
        <w:rPr>
          <w:rFonts w:ascii="DIN-Regular" w:eastAsiaTheme="minorEastAsia" w:hAnsi="DIN-Regular"/>
          <w:sz w:val="20"/>
          <w:szCs w:val="20"/>
          <w:lang w:val="de-DE" w:eastAsia="en-US"/>
        </w:rPr>
        <w:t>Aquarea</w:t>
      </w:r>
      <w:proofErr w:type="spellEnd"/>
      <w:r w:rsidRPr="005372E0">
        <w:rPr>
          <w:rFonts w:ascii="DIN-Regular" w:eastAsiaTheme="minorEastAsia" w:hAnsi="DIN-Regular"/>
          <w:sz w:val="20"/>
          <w:szCs w:val="20"/>
          <w:lang w:val="de-DE" w:eastAsia="en-US"/>
        </w:rPr>
        <w:t xml:space="preserve"> Service Cloud verbunden werden. So sind Installateure oder Servicepartner in der Lage, sich aus der Ferne um das </w:t>
      </w:r>
      <w:proofErr w:type="spellStart"/>
      <w:r w:rsidRPr="005372E0">
        <w:rPr>
          <w:rFonts w:ascii="DIN-Regular" w:eastAsiaTheme="minorEastAsia" w:hAnsi="DIN-Regular"/>
          <w:sz w:val="20"/>
          <w:szCs w:val="20"/>
          <w:lang w:val="de-DE" w:eastAsia="en-US"/>
        </w:rPr>
        <w:t>EcoFleX</w:t>
      </w:r>
      <w:proofErr w:type="spellEnd"/>
      <w:r w:rsidRPr="005372E0">
        <w:rPr>
          <w:rFonts w:ascii="DIN-Regular" w:eastAsiaTheme="minorEastAsia" w:hAnsi="DIN-Regular"/>
          <w:sz w:val="20"/>
          <w:szCs w:val="20"/>
          <w:lang w:val="de-DE" w:eastAsia="en-US"/>
        </w:rPr>
        <w:t>-System ihrer Kunden zu kümmern und sogar rechtzeitig aufkommende Fehler erkennen und beheben.</w:t>
      </w:r>
      <w:r w:rsidR="0074558C" w:rsidRPr="0074558C">
        <w:rPr>
          <w:rFonts w:ascii="DIN-Regular" w:eastAsiaTheme="minorEastAsia" w:hAnsi="DIN-Regular"/>
          <w:sz w:val="20"/>
          <w:szCs w:val="20"/>
          <w:lang w:val="de-DE" w:eastAsia="en-US"/>
        </w:rPr>
        <w:t xml:space="preserve"> </w:t>
      </w:r>
      <w:r w:rsidRPr="005372E0">
        <w:rPr>
          <w:rFonts w:ascii="DIN-Regular" w:eastAsiaTheme="minorEastAsia" w:hAnsi="DIN-Regular"/>
          <w:sz w:val="20"/>
          <w:szCs w:val="20"/>
          <w:lang w:val="de-DE" w:eastAsia="en-US"/>
        </w:rPr>
        <w:t xml:space="preserve">Beim Betrieb mit Ökostrom verursachen </w:t>
      </w:r>
      <w:proofErr w:type="spellStart"/>
      <w:r w:rsidRPr="005372E0">
        <w:rPr>
          <w:rFonts w:ascii="DIN-Regular" w:eastAsiaTheme="minorEastAsia" w:hAnsi="DIN-Regular"/>
          <w:sz w:val="20"/>
          <w:szCs w:val="20"/>
          <w:lang w:val="de-DE" w:eastAsia="en-US"/>
        </w:rPr>
        <w:t>Aquarea</w:t>
      </w:r>
      <w:proofErr w:type="spellEnd"/>
      <w:r w:rsidRPr="005372E0">
        <w:rPr>
          <w:rFonts w:ascii="DIN-Regular" w:eastAsiaTheme="minorEastAsia" w:hAnsi="DIN-Regular"/>
          <w:sz w:val="20"/>
          <w:szCs w:val="20"/>
          <w:lang w:val="de-DE" w:eastAsia="en-US"/>
        </w:rPr>
        <w:t xml:space="preserve"> Luft/Wasser-Wärmepumpen praktisch keine CO</w:t>
      </w:r>
      <w:r w:rsidRPr="005372E0">
        <w:rPr>
          <w:rFonts w:ascii="DIN-Regular" w:eastAsiaTheme="minorEastAsia" w:hAnsi="DIN-Regular"/>
          <w:sz w:val="20"/>
          <w:szCs w:val="20"/>
          <w:vertAlign w:val="subscript"/>
          <w:lang w:val="de-DE" w:eastAsia="en-US"/>
        </w:rPr>
        <w:t>2</w:t>
      </w:r>
      <w:r w:rsidRPr="005372E0">
        <w:rPr>
          <w:rFonts w:ascii="DIN-Regular" w:eastAsiaTheme="minorEastAsia" w:hAnsi="DIN-Regular"/>
          <w:sz w:val="20"/>
          <w:szCs w:val="20"/>
          <w:lang w:val="de-DE" w:eastAsia="en-US"/>
        </w:rPr>
        <w:t xml:space="preserve">-Emissionen, da bis zu 80% der benötigten Wärmeenergie aus der Umgebungsluft entnommen wird. Das </w:t>
      </w:r>
      <w:proofErr w:type="spellStart"/>
      <w:r w:rsidRPr="005372E0">
        <w:rPr>
          <w:rFonts w:ascii="DIN-Regular" w:eastAsiaTheme="minorEastAsia" w:hAnsi="DIN-Regular"/>
          <w:sz w:val="20"/>
          <w:szCs w:val="20"/>
          <w:lang w:val="de-DE" w:eastAsia="en-US"/>
        </w:rPr>
        <w:t>Aquarea</w:t>
      </w:r>
      <w:proofErr w:type="spellEnd"/>
      <w:r w:rsidRPr="005372E0">
        <w:rPr>
          <w:rFonts w:ascii="DIN-Regular" w:eastAsiaTheme="minorEastAsia" w:hAnsi="DIN-Regular"/>
          <w:sz w:val="20"/>
          <w:szCs w:val="20"/>
          <w:lang w:val="de-DE" w:eastAsia="en-US"/>
        </w:rPr>
        <w:t xml:space="preserve"> </w:t>
      </w:r>
      <w:proofErr w:type="spellStart"/>
      <w:r w:rsidRPr="005372E0">
        <w:rPr>
          <w:rFonts w:ascii="DIN-Regular" w:eastAsiaTheme="minorEastAsia" w:hAnsi="DIN-Regular"/>
          <w:sz w:val="20"/>
          <w:szCs w:val="20"/>
          <w:lang w:val="de-DE" w:eastAsia="en-US"/>
        </w:rPr>
        <w:t>EcoFleX</w:t>
      </w:r>
      <w:proofErr w:type="spellEnd"/>
      <w:r w:rsidRPr="005372E0">
        <w:rPr>
          <w:rFonts w:ascii="DIN-Regular" w:eastAsiaTheme="minorEastAsia" w:hAnsi="DIN-Regular"/>
          <w:sz w:val="20"/>
          <w:szCs w:val="20"/>
          <w:lang w:val="de-DE" w:eastAsia="en-US"/>
        </w:rPr>
        <w:t>-System ist damit eines der Highlights der Energielösungen von Panasonic zum Heizen und Kühlen.</w:t>
      </w:r>
    </w:p>
    <w:p w14:paraId="339E68F7" w14:textId="66B46F16" w:rsidR="005372E0" w:rsidRDefault="001B5C20" w:rsidP="0074558C">
      <w:pPr>
        <w:autoSpaceDE w:val="0"/>
        <w:autoSpaceDN w:val="0"/>
        <w:adjustRightInd w:val="0"/>
        <w:rPr>
          <w:rFonts w:ascii="DIN-Bold" w:hAnsi="DIN-Bold"/>
          <w:b/>
          <w:bCs/>
          <w:sz w:val="20"/>
          <w:lang w:val="de-DE"/>
        </w:rPr>
      </w:pPr>
      <w:r>
        <w:rPr>
          <w:rFonts w:ascii="DIN-Bold" w:hAnsi="DIN-Bold"/>
          <w:b/>
          <w:bCs/>
          <w:sz w:val="20"/>
          <w:lang w:val="de-DE"/>
        </w:rPr>
        <w:t>CO</w:t>
      </w:r>
      <w:r w:rsidRPr="001B5C20">
        <w:rPr>
          <w:rFonts w:ascii="DIN-Bold" w:hAnsi="DIN-Bold"/>
          <w:b/>
          <w:bCs/>
          <w:sz w:val="20"/>
          <w:vertAlign w:val="subscript"/>
          <w:lang w:val="de-DE"/>
        </w:rPr>
        <w:t>2</w:t>
      </w:r>
      <w:r>
        <w:rPr>
          <w:rFonts w:ascii="DIN-Bold" w:hAnsi="DIN-Bold"/>
          <w:b/>
          <w:bCs/>
          <w:sz w:val="20"/>
          <w:lang w:val="de-DE"/>
        </w:rPr>
        <w:t>-R</w:t>
      </w:r>
      <w:r w:rsidR="005372E0" w:rsidRPr="005372E0">
        <w:rPr>
          <w:rFonts w:ascii="DIN-Bold" w:hAnsi="DIN-Bold"/>
          <w:b/>
          <w:bCs/>
          <w:sz w:val="20"/>
          <w:lang w:val="de-DE"/>
        </w:rPr>
        <w:t>eduzierung: geringere Abhängigkeit von fossiler Energie und weniger CO</w:t>
      </w:r>
      <w:r w:rsidR="005372E0" w:rsidRPr="005372E0">
        <w:rPr>
          <w:rFonts w:ascii="DIN-Bold" w:hAnsi="DIN-Bold"/>
          <w:b/>
          <w:bCs/>
          <w:sz w:val="20"/>
          <w:vertAlign w:val="subscript"/>
          <w:lang w:val="de-DE"/>
        </w:rPr>
        <w:t>2</w:t>
      </w:r>
      <w:r w:rsidR="005372E0" w:rsidRPr="005372E0">
        <w:rPr>
          <w:rFonts w:ascii="DIN-Bold" w:hAnsi="DIN-Bold"/>
          <w:b/>
          <w:bCs/>
          <w:sz w:val="20"/>
          <w:lang w:val="de-DE"/>
        </w:rPr>
        <w:t>-Emissionen</w:t>
      </w:r>
    </w:p>
    <w:p w14:paraId="1886F252" w14:textId="68CE8867" w:rsidR="00FF69E5" w:rsidRPr="00FF69E5" w:rsidRDefault="00FF69E5" w:rsidP="00FF69E5">
      <w:pPr>
        <w:autoSpaceDE w:val="0"/>
        <w:autoSpaceDN w:val="0"/>
        <w:adjustRightInd w:val="0"/>
        <w:rPr>
          <w:rFonts w:ascii="DIN-Regular" w:hAnsi="DIN-Regular"/>
          <w:sz w:val="20"/>
          <w:lang w:val="de-DE"/>
        </w:rPr>
      </w:pPr>
      <w:r w:rsidRPr="00FF69E5">
        <w:rPr>
          <w:rFonts w:ascii="DIN-Regular" w:hAnsi="DIN-Regular"/>
          <w:sz w:val="20"/>
          <w:lang w:val="de-DE"/>
        </w:rPr>
        <w:t>Ein besonderes Highlight im Bereich Energy Products and Solutions in der Central Area auf dem IFA 2022</w:t>
      </w:r>
      <w:r>
        <w:rPr>
          <w:rFonts w:ascii="DIN-Regular" w:hAnsi="DIN-Regular"/>
          <w:sz w:val="20"/>
          <w:lang w:val="de-DE"/>
        </w:rPr>
        <w:t xml:space="preserve"> </w:t>
      </w:r>
      <w:r w:rsidRPr="00FF69E5">
        <w:rPr>
          <w:rFonts w:ascii="DIN-Regular" w:hAnsi="DIN-Regular"/>
          <w:sz w:val="20"/>
          <w:lang w:val="de-DE"/>
        </w:rPr>
        <w:t xml:space="preserve">Stand von Panasonic ist der </w:t>
      </w:r>
      <w:hyperlink r:id="rId14" w:history="1">
        <w:r w:rsidRPr="00B35E61">
          <w:rPr>
            <w:rStyle w:val="Hyperlink"/>
            <w:rFonts w:ascii="DIN-Regular" w:hAnsi="DIN-Regular"/>
            <w:sz w:val="20"/>
            <w:lang w:val="de-DE"/>
          </w:rPr>
          <w:t xml:space="preserve">Pure Hydrogen Fuel </w:t>
        </w:r>
        <w:proofErr w:type="spellStart"/>
        <w:r w:rsidRPr="00B35E61">
          <w:rPr>
            <w:rStyle w:val="Hyperlink"/>
            <w:rFonts w:ascii="DIN-Regular" w:hAnsi="DIN-Regular"/>
            <w:sz w:val="20"/>
            <w:lang w:val="de-DE"/>
          </w:rPr>
          <w:t>Cell</w:t>
        </w:r>
        <w:proofErr w:type="spellEnd"/>
        <w:r w:rsidRPr="00B35E61">
          <w:rPr>
            <w:rStyle w:val="Hyperlink"/>
            <w:rFonts w:ascii="DIN-Regular" w:hAnsi="DIN-Regular"/>
            <w:sz w:val="20"/>
            <w:lang w:val="de-DE"/>
          </w:rPr>
          <w:t xml:space="preserve"> Generator</w:t>
        </w:r>
      </w:hyperlink>
      <w:r w:rsidRPr="00FF69E5">
        <w:rPr>
          <w:rFonts w:ascii="DIN-Regular" w:hAnsi="DIN-Regular"/>
          <w:sz w:val="20"/>
          <w:lang w:val="de-DE"/>
        </w:rPr>
        <w:t>. Er kann mit grünem Wasserstoff betrieben werden. Im Allgemeinen wird grüner Wasserstoff durch die Trennung von Wassermolekülen (H</w:t>
      </w:r>
      <w:r w:rsidRPr="00FF69E5">
        <w:rPr>
          <w:rFonts w:ascii="DIN-Regular" w:hAnsi="DIN-Regular"/>
          <w:sz w:val="20"/>
          <w:vertAlign w:val="subscript"/>
          <w:lang w:val="de-DE"/>
        </w:rPr>
        <w:t>2</w:t>
      </w:r>
      <w:r w:rsidRPr="00FF69E5">
        <w:rPr>
          <w:rFonts w:ascii="DIN-Regular" w:hAnsi="DIN-Regular"/>
          <w:sz w:val="20"/>
          <w:lang w:val="de-DE"/>
        </w:rPr>
        <w:t>O) in Wasserstoff (H</w:t>
      </w:r>
      <w:r w:rsidRPr="00FF69E5">
        <w:rPr>
          <w:rFonts w:ascii="DIN-Regular" w:hAnsi="DIN-Regular"/>
          <w:sz w:val="20"/>
          <w:vertAlign w:val="subscript"/>
          <w:lang w:val="de-DE"/>
        </w:rPr>
        <w:t>2</w:t>
      </w:r>
      <w:r w:rsidRPr="00FF69E5">
        <w:rPr>
          <w:rFonts w:ascii="DIN-Regular" w:hAnsi="DIN-Regular"/>
          <w:sz w:val="20"/>
          <w:lang w:val="de-DE"/>
        </w:rPr>
        <w:t>) und Sauerstoff (O</w:t>
      </w:r>
      <w:r w:rsidRPr="00FF69E5">
        <w:rPr>
          <w:rFonts w:ascii="DIN-Regular" w:hAnsi="DIN-Regular"/>
          <w:sz w:val="20"/>
          <w:vertAlign w:val="subscript"/>
          <w:lang w:val="de-DE"/>
        </w:rPr>
        <w:t>2</w:t>
      </w:r>
      <w:r w:rsidRPr="00FF69E5">
        <w:rPr>
          <w:rFonts w:ascii="DIN-Regular" w:hAnsi="DIN-Regular"/>
          <w:sz w:val="20"/>
          <w:lang w:val="de-DE"/>
        </w:rPr>
        <w:t>) erzeugt. Dazu wird überschüssige Energie aus erneuerbaren Energien (Photovoltaik</w:t>
      </w:r>
      <w:r>
        <w:rPr>
          <w:rFonts w:ascii="DIN-Regular" w:hAnsi="DIN-Regular"/>
          <w:sz w:val="20"/>
          <w:lang w:val="de-DE"/>
        </w:rPr>
        <w:t>-</w:t>
      </w:r>
      <w:r w:rsidRPr="00FF69E5">
        <w:rPr>
          <w:rFonts w:ascii="DIN-Regular" w:hAnsi="DIN-Regular"/>
          <w:sz w:val="20"/>
          <w:lang w:val="de-DE"/>
        </w:rPr>
        <w:t xml:space="preserve"> oder Windkraftanlagen) verwendet.</w:t>
      </w:r>
    </w:p>
    <w:p w14:paraId="5783C24F" w14:textId="77777777" w:rsidR="00FF69E5" w:rsidRPr="0074558C" w:rsidRDefault="00FF69E5" w:rsidP="0074558C">
      <w:pPr>
        <w:autoSpaceDE w:val="0"/>
        <w:autoSpaceDN w:val="0"/>
        <w:adjustRightInd w:val="0"/>
        <w:rPr>
          <w:rFonts w:ascii="DIN-Regular" w:hAnsi="DIN-Regular"/>
          <w:sz w:val="20"/>
          <w:lang w:val="de-DE"/>
        </w:rPr>
      </w:pPr>
    </w:p>
    <w:p w14:paraId="60D20972" w14:textId="27F83043" w:rsidR="00EB3E7B" w:rsidRPr="00EB3E7B" w:rsidRDefault="00EB3E7B" w:rsidP="00EB3E7B">
      <w:pPr>
        <w:autoSpaceDE w:val="0"/>
        <w:autoSpaceDN w:val="0"/>
        <w:adjustRightInd w:val="0"/>
        <w:rPr>
          <w:rFonts w:ascii="DIN-Regular" w:hAnsi="DIN-Regular"/>
          <w:sz w:val="20"/>
          <w:lang w:val="de-DE"/>
        </w:rPr>
      </w:pPr>
      <w:r w:rsidRPr="00EB3E7B">
        <w:rPr>
          <w:rFonts w:ascii="DIN-Regular" w:hAnsi="DIN-Regular"/>
          <w:sz w:val="20"/>
          <w:lang w:val="de-DE"/>
        </w:rPr>
        <w:t>Eine einzelne Panasonic</w:t>
      </w:r>
      <w:r>
        <w:rPr>
          <w:rFonts w:ascii="DIN-Regular" w:hAnsi="DIN-Regular"/>
          <w:sz w:val="20"/>
          <w:lang w:val="de-DE"/>
        </w:rPr>
        <w:t xml:space="preserve"> </w:t>
      </w:r>
      <w:r w:rsidRPr="00EB3E7B">
        <w:rPr>
          <w:rFonts w:ascii="DIN-Regular" w:hAnsi="DIN-Regular"/>
          <w:sz w:val="20"/>
          <w:lang w:val="de-DE"/>
        </w:rPr>
        <w:t xml:space="preserve">Brennstoffzelleneinheit mit reinem Wasserstoff kann bis zu 5 kW Strom erzeugen, was für den Bedarf kleinerer gewerblicher Einrichtungen ausreichend ist. Darüber hinaus kann durch den Anschluss und die Steuerung mehrerer Brennstoffzelleneinheiten die Leistung je nach Bedarf erhöht werden. Das System wird in Japan bereits kommerziell </w:t>
      </w:r>
      <w:r w:rsidR="00502912">
        <w:rPr>
          <w:rFonts w:ascii="DIN-Regular" w:hAnsi="DIN-Regular"/>
          <w:sz w:val="20"/>
          <w:lang w:val="de-DE"/>
        </w:rPr>
        <w:t>vertrieben</w:t>
      </w:r>
      <w:r w:rsidRPr="00EB3E7B">
        <w:rPr>
          <w:rFonts w:ascii="DIN-Regular" w:hAnsi="DIN-Regular"/>
          <w:sz w:val="20"/>
          <w:lang w:val="de-DE"/>
        </w:rPr>
        <w:t xml:space="preserve"> und soll auch in Europa eingeführt werden, sobald die infrastrukturellen Bedingungen gewährleistet sind.</w:t>
      </w:r>
    </w:p>
    <w:p w14:paraId="579EE509" w14:textId="6FB78708" w:rsidR="00FF69E5" w:rsidRDefault="00FF69E5" w:rsidP="0074558C">
      <w:pPr>
        <w:autoSpaceDE w:val="0"/>
        <w:autoSpaceDN w:val="0"/>
        <w:adjustRightInd w:val="0"/>
        <w:rPr>
          <w:rFonts w:ascii="DIN-Regular" w:hAnsi="DIN-Regular"/>
          <w:sz w:val="20"/>
          <w:lang w:val="de-DE"/>
        </w:rPr>
      </w:pPr>
    </w:p>
    <w:p w14:paraId="6EC41F76" w14:textId="35183CF6" w:rsidR="00502912" w:rsidRPr="00502912" w:rsidRDefault="00502912" w:rsidP="0074558C">
      <w:pPr>
        <w:autoSpaceDE w:val="0"/>
        <w:autoSpaceDN w:val="0"/>
        <w:adjustRightInd w:val="0"/>
        <w:rPr>
          <w:rFonts w:ascii="DIN-Regular" w:hAnsi="DIN-Regular"/>
          <w:b/>
          <w:bCs/>
          <w:color w:val="000000" w:themeColor="text1"/>
          <w:sz w:val="20"/>
          <w:lang w:val="de-DE"/>
        </w:rPr>
      </w:pPr>
      <w:r w:rsidRPr="00502912">
        <w:rPr>
          <w:rFonts w:ascii="DIN-Regular" w:hAnsi="DIN-Regular"/>
          <w:b/>
          <w:bCs/>
          <w:color w:val="000000" w:themeColor="text1"/>
          <w:sz w:val="20"/>
          <w:lang w:val="de-DE"/>
        </w:rPr>
        <w:t xml:space="preserve">RE100 </w:t>
      </w:r>
      <w:r>
        <w:rPr>
          <w:rFonts w:ascii="DIN-Regular" w:hAnsi="DIN-Regular"/>
          <w:b/>
          <w:bCs/>
          <w:color w:val="000000" w:themeColor="text1"/>
          <w:sz w:val="20"/>
          <w:lang w:val="de-DE"/>
        </w:rPr>
        <w:t>–</w:t>
      </w:r>
      <w:r w:rsidRPr="00502912">
        <w:rPr>
          <w:rFonts w:ascii="DIN-Regular" w:hAnsi="DIN-Regular"/>
          <w:b/>
          <w:bCs/>
          <w:color w:val="000000" w:themeColor="text1"/>
          <w:sz w:val="20"/>
          <w:lang w:val="de-DE"/>
        </w:rPr>
        <w:t xml:space="preserve"> Fabrik wird Energie-autark </w:t>
      </w:r>
    </w:p>
    <w:p w14:paraId="6E8E820A" w14:textId="4D9BE363" w:rsidR="00502912" w:rsidRDefault="00EB3E7B" w:rsidP="00EB3E7B">
      <w:pPr>
        <w:autoSpaceDE w:val="0"/>
        <w:autoSpaceDN w:val="0"/>
        <w:adjustRightInd w:val="0"/>
        <w:rPr>
          <w:rFonts w:ascii="DIN-Regular" w:hAnsi="DIN-Regular"/>
          <w:sz w:val="20"/>
          <w:lang w:val="de-DE"/>
        </w:rPr>
      </w:pPr>
      <w:r w:rsidRPr="00EB3E7B">
        <w:rPr>
          <w:rFonts w:ascii="DIN-Regular" w:hAnsi="DIN-Regular"/>
          <w:sz w:val="20"/>
          <w:lang w:val="de-DE"/>
        </w:rPr>
        <w:t xml:space="preserve">99 Einheiten dieser innovativen reinen Wasserstoff-Brennstoffzellensysteme sind Teil der </w:t>
      </w:r>
      <w:hyperlink r:id="rId15" w:history="1">
        <w:r w:rsidRPr="00B35E61">
          <w:rPr>
            <w:rStyle w:val="Hyperlink"/>
            <w:rFonts w:ascii="DIN-Regular" w:hAnsi="DIN-Regular"/>
            <w:sz w:val="20"/>
            <w:lang w:val="de-DE"/>
          </w:rPr>
          <w:t>Pilotanlage</w:t>
        </w:r>
      </w:hyperlink>
      <w:r w:rsidRPr="00EB3E7B">
        <w:rPr>
          <w:rFonts w:ascii="DIN-Regular" w:hAnsi="DIN-Regular"/>
          <w:sz w:val="20"/>
          <w:lang w:val="de-DE"/>
        </w:rPr>
        <w:t xml:space="preserve">, die im April 2022 in einer Panasonic-Fabrik in Japan in Betrieb genommen wurde. Der Strom für den Betrieb des Werks soll zu 100 Prozent aus erneuerbaren Ressourcen gewonnen werden. Die </w:t>
      </w:r>
      <w:r>
        <w:rPr>
          <w:rFonts w:ascii="DIN-Regular" w:hAnsi="DIN-Regular"/>
          <w:sz w:val="20"/>
          <w:lang w:val="de-DE"/>
        </w:rPr>
        <w:t>„</w:t>
      </w:r>
      <w:r w:rsidRPr="00EB3E7B">
        <w:rPr>
          <w:rFonts w:ascii="DIN-Regular" w:hAnsi="DIN-Regular"/>
          <w:sz w:val="20"/>
          <w:lang w:val="de-DE"/>
        </w:rPr>
        <w:t>RE100</w:t>
      </w:r>
      <w:r>
        <w:rPr>
          <w:rFonts w:ascii="DIN-Regular" w:hAnsi="DIN-Regular"/>
          <w:sz w:val="20"/>
          <w:lang w:val="de-DE"/>
        </w:rPr>
        <w:t>“</w:t>
      </w:r>
      <w:r w:rsidRPr="00EB3E7B">
        <w:rPr>
          <w:rFonts w:ascii="DIN-Regular" w:hAnsi="DIN-Regular"/>
          <w:sz w:val="20"/>
          <w:lang w:val="de-DE"/>
        </w:rPr>
        <w:t>-Anlage (</w:t>
      </w:r>
      <w:proofErr w:type="spellStart"/>
      <w:r w:rsidRPr="00EB3E7B">
        <w:rPr>
          <w:rFonts w:ascii="DIN-Regular" w:hAnsi="DIN-Regular"/>
          <w:sz w:val="20"/>
          <w:lang w:val="de-DE"/>
        </w:rPr>
        <w:t>Renewable</w:t>
      </w:r>
      <w:proofErr w:type="spellEnd"/>
      <w:r w:rsidRPr="00EB3E7B">
        <w:rPr>
          <w:rFonts w:ascii="DIN-Regular" w:hAnsi="DIN-Regular"/>
          <w:sz w:val="20"/>
          <w:lang w:val="de-DE"/>
        </w:rPr>
        <w:t xml:space="preserve"> Energy 100%) ist Teil eines autarken Stromversorgungssystems, das die Erzeugung von </w:t>
      </w:r>
      <w:r w:rsidR="001B5C20">
        <w:rPr>
          <w:rFonts w:ascii="DIN-Regular" w:hAnsi="DIN-Regular"/>
          <w:sz w:val="20"/>
          <w:lang w:val="de-DE"/>
        </w:rPr>
        <w:t>Elektrizität</w:t>
      </w:r>
      <w:r w:rsidRPr="00EB3E7B">
        <w:rPr>
          <w:rFonts w:ascii="DIN-Regular" w:hAnsi="DIN-Regular"/>
          <w:sz w:val="20"/>
          <w:lang w:val="de-DE"/>
        </w:rPr>
        <w:t xml:space="preserve"> mit Photovoltaikmodulen und einem Batteriespeicher kombiniert. </w:t>
      </w:r>
    </w:p>
    <w:p w14:paraId="18A792CD" w14:textId="77777777" w:rsidR="00502912" w:rsidRDefault="00502912" w:rsidP="00EB3E7B">
      <w:pPr>
        <w:autoSpaceDE w:val="0"/>
        <w:autoSpaceDN w:val="0"/>
        <w:adjustRightInd w:val="0"/>
        <w:rPr>
          <w:rFonts w:ascii="DIN-Regular" w:hAnsi="DIN-Regular"/>
          <w:sz w:val="20"/>
          <w:lang w:val="de-DE"/>
        </w:rPr>
      </w:pPr>
    </w:p>
    <w:p w14:paraId="53DB26A3" w14:textId="6C1FBD21" w:rsidR="00EB3E7B" w:rsidRPr="00EB3E7B" w:rsidRDefault="00EB3E7B" w:rsidP="00EB3E7B">
      <w:pPr>
        <w:autoSpaceDE w:val="0"/>
        <w:autoSpaceDN w:val="0"/>
        <w:adjustRightInd w:val="0"/>
        <w:rPr>
          <w:rFonts w:ascii="DIN-Regular" w:hAnsi="DIN-Regular"/>
          <w:sz w:val="20"/>
          <w:lang w:val="de-DE"/>
        </w:rPr>
      </w:pPr>
      <w:r w:rsidRPr="00EB3E7B">
        <w:rPr>
          <w:rFonts w:ascii="DIN-Regular" w:hAnsi="DIN-Regular"/>
          <w:sz w:val="20"/>
          <w:lang w:val="de-DE"/>
        </w:rPr>
        <w:t>Diese Art der Unabhängigkeit für Produktionsstätten dank grüner Energie ist weltweit einzigartig. Panasonic hat bereits zahlreiche Anfragen aus der Privatwirtschaft und von Regierungen erhalten, die an einer solchen Anlage interessiert sind.</w:t>
      </w:r>
    </w:p>
    <w:p w14:paraId="2E496BE6" w14:textId="77777777" w:rsidR="00BE54E7" w:rsidRPr="0074558C" w:rsidRDefault="00BE54E7" w:rsidP="004C79D5">
      <w:pPr>
        <w:autoSpaceDE w:val="0"/>
        <w:autoSpaceDN w:val="0"/>
        <w:adjustRightInd w:val="0"/>
        <w:rPr>
          <w:rFonts w:ascii="DIN-Regular" w:hAnsi="DIN-Regular"/>
          <w:sz w:val="20"/>
          <w:lang w:val="de-DE"/>
        </w:rPr>
      </w:pPr>
    </w:p>
    <w:p w14:paraId="0C4AA7A4" w14:textId="30AB2E78" w:rsidR="00C865C7" w:rsidRPr="0074558C" w:rsidRDefault="00AC54C7" w:rsidP="00C865C7">
      <w:pPr>
        <w:ind w:right="-57"/>
        <w:rPr>
          <w:rFonts w:ascii="DIN-Bold" w:hAnsi="DIN-Bold"/>
          <w:b/>
          <w:bCs/>
          <w:sz w:val="20"/>
          <w:lang w:val="de-DE"/>
        </w:rPr>
      </w:pPr>
      <w:r w:rsidRPr="00AC54C7">
        <w:rPr>
          <w:rFonts w:ascii="DIN-Bold" w:hAnsi="DIN-Bold"/>
          <w:b/>
          <w:bCs/>
          <w:sz w:val="20"/>
          <w:lang w:val="de-DE"/>
        </w:rPr>
        <w:t>Kreislaufwirtschaft: neues Designdenken zur Verlängerung der Lebensdauer unserer Produkte</w:t>
      </w:r>
    </w:p>
    <w:p w14:paraId="37CF0297" w14:textId="2FE6CE57" w:rsidR="00AC54C7" w:rsidRPr="00AC54C7" w:rsidRDefault="00AC54C7" w:rsidP="00AC54C7">
      <w:pPr>
        <w:autoSpaceDE w:val="0"/>
        <w:autoSpaceDN w:val="0"/>
        <w:adjustRightInd w:val="0"/>
        <w:rPr>
          <w:rFonts w:ascii="DIN-Regular" w:hAnsi="DIN-Regular"/>
          <w:sz w:val="20"/>
          <w:lang w:val="de-DE"/>
        </w:rPr>
      </w:pPr>
      <w:r w:rsidRPr="00AC54C7">
        <w:rPr>
          <w:rFonts w:ascii="DIN-Regular" w:hAnsi="DIN-Regular"/>
          <w:sz w:val="20"/>
          <w:lang w:val="de-DE"/>
        </w:rPr>
        <w:t xml:space="preserve">Panasonic nähert sich dem Thema der Kreislaufwirtschaft aus verschiedenen Blickwinkeln. Besonders wichtig für Panasonic ist es, das eigene Designdenken zu ändern, um die Lebensdauer der Produkte zu verlängern. Ein brandneues Produkt, das im Juli dieses Jahres in Europa auf den Markt kam, verkörpert diesen Gedanken: das </w:t>
      </w:r>
      <w:hyperlink r:id="rId16" w:history="1">
        <w:r w:rsidRPr="00AC54C7">
          <w:rPr>
            <w:rStyle w:val="Hyperlink"/>
            <w:rFonts w:ascii="DIN-Regular" w:hAnsi="DIN-Regular"/>
            <w:sz w:val="20"/>
            <w:lang w:val="de-DE"/>
          </w:rPr>
          <w:t>Körperpflegesystem MULTISHAPE</w:t>
        </w:r>
      </w:hyperlink>
      <w:r w:rsidRPr="00AC54C7">
        <w:rPr>
          <w:rFonts w:ascii="DIN-Regular" w:hAnsi="DIN-Regular"/>
          <w:sz w:val="20"/>
          <w:lang w:val="de-DE"/>
        </w:rPr>
        <w:t xml:space="preserve">. Das Produkt ist modular aufgebaut und verfügt über austauschbare Aufsätze, die unter anderem durch Anbringen eines Rasierers, </w:t>
      </w:r>
      <w:r w:rsidR="007670EE">
        <w:rPr>
          <w:rFonts w:ascii="DIN-Regular" w:hAnsi="DIN-Regular"/>
          <w:sz w:val="20"/>
          <w:lang w:val="de-DE"/>
        </w:rPr>
        <w:t xml:space="preserve">verschiedenen </w:t>
      </w:r>
      <w:proofErr w:type="spellStart"/>
      <w:r w:rsidR="007670EE">
        <w:rPr>
          <w:rFonts w:ascii="DIN-Regular" w:hAnsi="DIN-Regular"/>
          <w:sz w:val="20"/>
          <w:lang w:val="de-DE"/>
        </w:rPr>
        <w:t>Haart</w:t>
      </w:r>
      <w:r w:rsidRPr="00AC54C7">
        <w:rPr>
          <w:rFonts w:ascii="DIN-Regular" w:hAnsi="DIN-Regular"/>
          <w:sz w:val="20"/>
          <w:lang w:val="de-DE"/>
        </w:rPr>
        <w:t>rimmer</w:t>
      </w:r>
      <w:r w:rsidR="007670EE">
        <w:rPr>
          <w:rFonts w:ascii="DIN-Regular" w:hAnsi="DIN-Regular"/>
          <w:sz w:val="20"/>
          <w:lang w:val="de-DE"/>
        </w:rPr>
        <w:t>n</w:t>
      </w:r>
      <w:proofErr w:type="spellEnd"/>
      <w:r w:rsidR="007670EE">
        <w:rPr>
          <w:rFonts w:ascii="DIN-Regular" w:hAnsi="DIN-Regular"/>
          <w:sz w:val="20"/>
          <w:lang w:val="de-DE"/>
        </w:rPr>
        <w:t xml:space="preserve"> oder </w:t>
      </w:r>
      <w:r w:rsidRPr="00AC54C7">
        <w:rPr>
          <w:rFonts w:ascii="DIN-Regular" w:hAnsi="DIN-Regular"/>
          <w:sz w:val="20"/>
          <w:lang w:val="de-DE"/>
        </w:rPr>
        <w:t xml:space="preserve">einer Zahnbürste fünf verschiedene Arten der Körperpflege ermöglichen. </w:t>
      </w:r>
    </w:p>
    <w:p w14:paraId="24426D17" w14:textId="77777777" w:rsidR="0074558C" w:rsidRPr="0074558C" w:rsidRDefault="0074558C" w:rsidP="0074558C">
      <w:pPr>
        <w:autoSpaceDE w:val="0"/>
        <w:autoSpaceDN w:val="0"/>
        <w:adjustRightInd w:val="0"/>
        <w:rPr>
          <w:rFonts w:ascii="DIN-Regular" w:hAnsi="DIN-Regular"/>
          <w:sz w:val="20"/>
          <w:lang w:val="de-DE"/>
        </w:rPr>
      </w:pPr>
    </w:p>
    <w:p w14:paraId="2957265C" w14:textId="31FD663E" w:rsidR="00FD28BE" w:rsidRPr="00FD28BE" w:rsidRDefault="00FD28BE" w:rsidP="00FD28BE">
      <w:pPr>
        <w:autoSpaceDE w:val="0"/>
        <w:autoSpaceDN w:val="0"/>
        <w:adjustRightInd w:val="0"/>
        <w:rPr>
          <w:rFonts w:ascii="DIN-Regular" w:hAnsi="DIN-Regular"/>
          <w:sz w:val="20"/>
          <w:lang w:val="de-DE"/>
        </w:rPr>
      </w:pPr>
      <w:r w:rsidRPr="00FD28BE">
        <w:rPr>
          <w:rFonts w:ascii="DIN-Regular" w:hAnsi="DIN-Regular"/>
          <w:sz w:val="20"/>
          <w:lang w:val="de-DE"/>
        </w:rPr>
        <w:t>Das modulare Design macht einen Motor, eine wiederaufladbare Batterie und einen Adapter für jedes Produkt überflüssig, was im Vergleich zum herkömmlichen Produktdesign etwa 60% der Ressourcen einspart. Das modulare Design bedeutet auch, dass die Benutzer selbst einzelne Teile austauschen können, falls sie kaputt gehen, und dass das Produkt selbst lange Zeit verwendet werden kann. Beginnend mit Körperpflegeprodukten in Europa wird Panasonic diese auf der Kreislaufwirtschaft basierende Designphilosophie schrittweise übernehmen und auf andere Regionen und Produkte ausweiten.</w:t>
      </w:r>
    </w:p>
    <w:p w14:paraId="0F6769FF" w14:textId="77777777" w:rsidR="00FD28BE" w:rsidRPr="00FD28BE" w:rsidRDefault="00FD28BE" w:rsidP="00FD28BE">
      <w:pPr>
        <w:autoSpaceDE w:val="0"/>
        <w:autoSpaceDN w:val="0"/>
        <w:adjustRightInd w:val="0"/>
        <w:rPr>
          <w:rFonts w:ascii="DIN-Regular" w:hAnsi="DIN-Regular"/>
          <w:sz w:val="20"/>
          <w:lang w:val="de-DE"/>
        </w:rPr>
      </w:pPr>
    </w:p>
    <w:p w14:paraId="0EF0BF0B" w14:textId="77777777" w:rsidR="00FD28BE" w:rsidRDefault="00FD28BE" w:rsidP="0074558C">
      <w:pPr>
        <w:autoSpaceDE w:val="0"/>
        <w:autoSpaceDN w:val="0"/>
        <w:adjustRightInd w:val="0"/>
        <w:rPr>
          <w:rFonts w:ascii="DIN-Bold" w:hAnsi="DIN-Bold"/>
          <w:b/>
          <w:bCs/>
          <w:sz w:val="20"/>
          <w:lang w:val="de-DE"/>
        </w:rPr>
      </w:pPr>
      <w:r w:rsidRPr="00FD28BE">
        <w:rPr>
          <w:rFonts w:ascii="DIN-Bold" w:hAnsi="DIN-Bold"/>
          <w:b/>
          <w:bCs/>
          <w:sz w:val="20"/>
          <w:lang w:val="de-DE"/>
        </w:rPr>
        <w:t>Panasonic GREEN IMAPCT: Nachhaltigkeit als Grundlage für die Geschäftstätigkeit</w:t>
      </w:r>
    </w:p>
    <w:p w14:paraId="46B773DD" w14:textId="03529F36" w:rsidR="00FD28BE" w:rsidRPr="00FD28BE" w:rsidRDefault="00FD28BE" w:rsidP="00FD28BE">
      <w:pPr>
        <w:autoSpaceDE w:val="0"/>
        <w:autoSpaceDN w:val="0"/>
        <w:adjustRightInd w:val="0"/>
        <w:rPr>
          <w:rFonts w:ascii="DIN-Bold" w:hAnsi="DIN-Bold"/>
          <w:sz w:val="20"/>
          <w:lang w:val="de-DE"/>
        </w:rPr>
      </w:pPr>
      <w:r w:rsidRPr="00FD28BE">
        <w:rPr>
          <w:rFonts w:ascii="DIN-Bold" w:hAnsi="DIN-Bold"/>
          <w:sz w:val="20"/>
          <w:lang w:val="de-DE"/>
        </w:rPr>
        <w:t>Die Panasonic Group hat sich ausdrücklich dazu verpflichtet, die CO</w:t>
      </w:r>
      <w:r w:rsidRPr="00FD28BE">
        <w:rPr>
          <w:rFonts w:ascii="DIN-Bold" w:hAnsi="DIN-Bold"/>
          <w:sz w:val="20"/>
          <w:vertAlign w:val="subscript"/>
          <w:lang w:val="de-DE"/>
        </w:rPr>
        <w:t>2</w:t>
      </w:r>
      <w:r w:rsidRPr="00FD28BE">
        <w:rPr>
          <w:rFonts w:ascii="DIN-Bold" w:hAnsi="DIN-Bold"/>
          <w:sz w:val="20"/>
          <w:lang w:val="de-DE"/>
        </w:rPr>
        <w:t xml:space="preserve">-Emissionen aus dem eigenen Betrieb bis 2030 auf null zu reduzieren und </w:t>
      </w:r>
      <w:r w:rsidR="00333501" w:rsidRPr="00FD28BE">
        <w:rPr>
          <w:rFonts w:ascii="DIN-Bold" w:hAnsi="DIN-Bold"/>
          <w:sz w:val="20"/>
          <w:lang w:val="de-DE"/>
        </w:rPr>
        <w:t xml:space="preserve">durch Innovationen </w:t>
      </w:r>
      <w:r w:rsidRPr="00FD28BE">
        <w:rPr>
          <w:rFonts w:ascii="DIN-Bold" w:hAnsi="DIN-Bold"/>
          <w:sz w:val="20"/>
          <w:lang w:val="de-DE"/>
        </w:rPr>
        <w:t>bis 2050 insgesamt über 300 Millionen Tonnen</w:t>
      </w:r>
      <w:r w:rsidRPr="00FD28BE">
        <w:rPr>
          <w:rFonts w:ascii="DIN-Bold" w:hAnsi="DIN-Bold"/>
          <w:sz w:val="20"/>
          <w:vertAlign w:val="superscript"/>
          <w:lang w:val="de-DE"/>
        </w:rPr>
        <w:t>1</w:t>
      </w:r>
      <w:r w:rsidRPr="00FD28BE">
        <w:rPr>
          <w:rFonts w:ascii="DIN-Bold" w:hAnsi="DIN-Bold"/>
          <w:sz w:val="20"/>
          <w:lang w:val="de-DE"/>
        </w:rPr>
        <w:t xml:space="preserve"> an reduzierten und vermiedenen Emissionen in ihrer Wertschöpfungskette zu erreichen. Diese über 300 Millionen Tonnen CO</w:t>
      </w:r>
      <w:r w:rsidRPr="00FD28BE">
        <w:rPr>
          <w:rFonts w:ascii="DIN-Bold" w:hAnsi="DIN-Bold"/>
          <w:sz w:val="20"/>
          <w:vertAlign w:val="subscript"/>
          <w:lang w:val="de-DE"/>
        </w:rPr>
        <w:t>2</w:t>
      </w:r>
      <w:r w:rsidRPr="00FD28BE">
        <w:rPr>
          <w:rFonts w:ascii="DIN-Bold" w:hAnsi="DIN-Bold"/>
          <w:sz w:val="20"/>
          <w:lang w:val="de-DE"/>
        </w:rPr>
        <w:t>-Emissionen bis 2050 entsprechen etwa einem Prozent</w:t>
      </w:r>
      <w:r w:rsidRPr="00FD28BE">
        <w:rPr>
          <w:rFonts w:ascii="DIN-Bold" w:hAnsi="DIN-Bold"/>
          <w:sz w:val="20"/>
          <w:vertAlign w:val="superscript"/>
          <w:lang w:val="de-DE"/>
        </w:rPr>
        <w:t>2</w:t>
      </w:r>
      <w:r w:rsidRPr="00FD28BE">
        <w:rPr>
          <w:rFonts w:ascii="DIN-Bold" w:hAnsi="DIN-Bold"/>
          <w:sz w:val="20"/>
          <w:lang w:val="de-DE"/>
        </w:rPr>
        <w:t xml:space="preserve"> der derzeitigen globalen Gesamtemissionen von 33 Milliarden Tonnen pro Jahr. </w:t>
      </w:r>
    </w:p>
    <w:p w14:paraId="421C38A8" w14:textId="77777777" w:rsidR="0074558C" w:rsidRPr="0074558C" w:rsidRDefault="0074558C" w:rsidP="0074558C">
      <w:pPr>
        <w:autoSpaceDE w:val="0"/>
        <w:autoSpaceDN w:val="0"/>
        <w:adjustRightInd w:val="0"/>
        <w:rPr>
          <w:rFonts w:ascii="DIN-Bold" w:hAnsi="DIN-Bold"/>
          <w:sz w:val="20"/>
          <w:lang w:val="de-DE"/>
        </w:rPr>
      </w:pPr>
    </w:p>
    <w:p w14:paraId="773650EA" w14:textId="6F603BC4" w:rsidR="000A6900" w:rsidRDefault="00333501" w:rsidP="00232E72">
      <w:pPr>
        <w:autoSpaceDE w:val="0"/>
        <w:autoSpaceDN w:val="0"/>
        <w:adjustRightInd w:val="0"/>
        <w:rPr>
          <w:rFonts w:ascii="DIN-Bold" w:hAnsi="DIN-Bold"/>
          <w:sz w:val="20"/>
          <w:lang w:val="de-DE"/>
        </w:rPr>
      </w:pPr>
      <w:r w:rsidRPr="00333501">
        <w:rPr>
          <w:rFonts w:ascii="DIN-Bold" w:hAnsi="DIN-Bold"/>
          <w:sz w:val="20"/>
          <w:lang w:val="de-DE"/>
        </w:rPr>
        <w:t xml:space="preserve">Als Meilenstein auf dem Weg zur Erreichung der Ziele für 2030 und 2050 legt die Panasonic Gruppe in ihrem GREEN IMPACT Plan 2024 (FY2025) konkrete Maßnahmen fest, die bis dahin </w:t>
      </w:r>
      <w:r w:rsidRPr="00333501">
        <w:rPr>
          <w:rFonts w:ascii="DIN-Bold" w:hAnsi="DIN-Bold"/>
          <w:sz w:val="20"/>
          <w:lang w:val="de-DE"/>
        </w:rPr>
        <w:lastRenderedPageBreak/>
        <w:t>umgesetzt werden sollen. Ziel ist es, die CO</w:t>
      </w:r>
      <w:r w:rsidRPr="00587346">
        <w:rPr>
          <w:rFonts w:ascii="DIN-Bold" w:hAnsi="DIN-Bold"/>
          <w:sz w:val="20"/>
          <w:vertAlign w:val="subscript"/>
          <w:lang w:val="de-DE"/>
        </w:rPr>
        <w:t>2</w:t>
      </w:r>
      <w:r w:rsidRPr="00333501">
        <w:rPr>
          <w:rFonts w:ascii="DIN-Bold" w:hAnsi="DIN-Bold"/>
          <w:sz w:val="20"/>
          <w:lang w:val="de-DE"/>
        </w:rPr>
        <w:t>-Emissionen, insbesondere aus dem eigenen Betrieb, zu reduzieren. Die folgende Tabelle enthält einige konkrete Beispiele:</w:t>
      </w:r>
    </w:p>
    <w:p w14:paraId="59E1C869" w14:textId="77777777" w:rsidR="00333501" w:rsidRDefault="00333501" w:rsidP="00232E72">
      <w:pPr>
        <w:autoSpaceDE w:val="0"/>
        <w:autoSpaceDN w:val="0"/>
        <w:adjustRightInd w:val="0"/>
        <w:rPr>
          <w:rFonts w:ascii="DIN-Bold" w:hAnsi="DIN-Bold"/>
          <w:sz w:val="20"/>
          <w:highlight w:val="yellow"/>
          <w:lang w:val="de-DE"/>
        </w:rPr>
      </w:pPr>
    </w:p>
    <w:tbl>
      <w:tblPr>
        <w:tblStyle w:val="Tabellenraster"/>
        <w:tblW w:w="7797" w:type="dxa"/>
        <w:tblLook w:val="04A0" w:firstRow="1" w:lastRow="0" w:firstColumn="1" w:lastColumn="0" w:noHBand="0" w:noVBand="1"/>
      </w:tblPr>
      <w:tblGrid>
        <w:gridCol w:w="1187"/>
        <w:gridCol w:w="3916"/>
        <w:gridCol w:w="1276"/>
        <w:gridCol w:w="1418"/>
      </w:tblGrid>
      <w:tr w:rsidR="0074558C" w:rsidRPr="001370F9" w14:paraId="6C0159B6" w14:textId="77777777" w:rsidTr="0043594F">
        <w:tc>
          <w:tcPr>
            <w:tcW w:w="1187" w:type="dxa"/>
            <w:tcBorders>
              <w:top w:val="nil"/>
              <w:left w:val="nil"/>
              <w:bottom w:val="single" w:sz="4" w:space="0" w:color="auto"/>
              <w:right w:val="nil"/>
            </w:tcBorders>
          </w:tcPr>
          <w:p w14:paraId="55EF27A9" w14:textId="77777777" w:rsidR="0074558C" w:rsidRPr="001C585E" w:rsidRDefault="0074558C" w:rsidP="0043594F">
            <w:pPr>
              <w:autoSpaceDE w:val="0"/>
              <w:autoSpaceDN w:val="0"/>
              <w:adjustRightInd w:val="0"/>
              <w:rPr>
                <w:rFonts w:asciiTheme="majorHAnsi" w:hAnsiTheme="majorHAnsi" w:cstheme="majorHAnsi"/>
              </w:rPr>
            </w:pPr>
          </w:p>
        </w:tc>
        <w:tc>
          <w:tcPr>
            <w:tcW w:w="3916" w:type="dxa"/>
            <w:tcBorders>
              <w:top w:val="nil"/>
              <w:left w:val="nil"/>
              <w:bottom w:val="single" w:sz="4" w:space="0" w:color="auto"/>
              <w:right w:val="nil"/>
            </w:tcBorders>
          </w:tcPr>
          <w:p w14:paraId="52D171B5" w14:textId="77777777" w:rsidR="0074558C" w:rsidRPr="001370F9" w:rsidRDefault="0074558C" w:rsidP="0043594F">
            <w:pPr>
              <w:autoSpaceDE w:val="0"/>
              <w:autoSpaceDN w:val="0"/>
              <w:adjustRightInd w:val="0"/>
              <w:rPr>
                <w:rFonts w:ascii="DIN-Bold" w:hAnsi="DIN-Bold"/>
                <w:sz w:val="20"/>
                <w:lang w:val="de-DE"/>
              </w:rPr>
            </w:pPr>
          </w:p>
        </w:tc>
        <w:tc>
          <w:tcPr>
            <w:tcW w:w="1276" w:type="dxa"/>
            <w:tcBorders>
              <w:top w:val="nil"/>
              <w:left w:val="nil"/>
              <w:bottom w:val="single" w:sz="4" w:space="0" w:color="auto"/>
              <w:right w:val="nil"/>
            </w:tcBorders>
          </w:tcPr>
          <w:p w14:paraId="48041B7F" w14:textId="320AF6F0" w:rsidR="0074558C" w:rsidRPr="00333501" w:rsidRDefault="0074558C" w:rsidP="0043594F">
            <w:pPr>
              <w:autoSpaceDE w:val="0"/>
              <w:autoSpaceDN w:val="0"/>
              <w:adjustRightInd w:val="0"/>
              <w:rPr>
                <w:rFonts w:ascii="DIN-Bold" w:hAnsi="DIN-Bold"/>
                <w:b/>
                <w:bCs/>
                <w:sz w:val="18"/>
                <w:szCs w:val="18"/>
                <w:lang w:val="de-DE"/>
              </w:rPr>
            </w:pPr>
            <w:r w:rsidRPr="00333501">
              <w:rPr>
                <w:rFonts w:ascii="DIN-Bold" w:hAnsi="DIN-Bold"/>
                <w:b/>
                <w:bCs/>
                <w:sz w:val="18"/>
                <w:szCs w:val="18"/>
                <w:lang w:val="de-DE"/>
              </w:rPr>
              <w:t xml:space="preserve">FY2021 </w:t>
            </w:r>
            <w:r w:rsidR="00333501" w:rsidRPr="00333501">
              <w:rPr>
                <w:rFonts w:ascii="DIN-Bold" w:hAnsi="DIN-Bold"/>
                <w:b/>
                <w:bCs/>
                <w:sz w:val="18"/>
                <w:szCs w:val="18"/>
                <w:lang w:val="de-DE"/>
              </w:rPr>
              <w:t>Ergebnisse</w:t>
            </w:r>
          </w:p>
        </w:tc>
        <w:tc>
          <w:tcPr>
            <w:tcW w:w="1418" w:type="dxa"/>
            <w:tcBorders>
              <w:top w:val="nil"/>
              <w:left w:val="nil"/>
              <w:bottom w:val="single" w:sz="4" w:space="0" w:color="auto"/>
              <w:right w:val="nil"/>
            </w:tcBorders>
          </w:tcPr>
          <w:p w14:paraId="63EEDF27" w14:textId="77777777" w:rsidR="00333501" w:rsidRPr="00333501" w:rsidRDefault="0074558C" w:rsidP="0043594F">
            <w:pPr>
              <w:autoSpaceDE w:val="0"/>
              <w:autoSpaceDN w:val="0"/>
              <w:adjustRightInd w:val="0"/>
              <w:rPr>
                <w:rFonts w:ascii="DIN-Bold" w:hAnsi="DIN-Bold"/>
                <w:b/>
                <w:bCs/>
                <w:sz w:val="18"/>
                <w:szCs w:val="18"/>
                <w:lang w:val="de-DE"/>
              </w:rPr>
            </w:pPr>
            <w:r w:rsidRPr="00333501">
              <w:rPr>
                <w:rFonts w:ascii="DIN-Bold" w:hAnsi="DIN-Bold"/>
                <w:b/>
                <w:bCs/>
                <w:sz w:val="18"/>
                <w:szCs w:val="18"/>
                <w:lang w:val="de-DE"/>
              </w:rPr>
              <w:t>FY2025</w:t>
            </w:r>
          </w:p>
          <w:p w14:paraId="609FC2CF" w14:textId="336C7C72" w:rsidR="0074558C" w:rsidRPr="00333501" w:rsidRDefault="00333501" w:rsidP="0043594F">
            <w:pPr>
              <w:autoSpaceDE w:val="0"/>
              <w:autoSpaceDN w:val="0"/>
              <w:adjustRightInd w:val="0"/>
              <w:rPr>
                <w:rFonts w:ascii="DIN-Bold" w:hAnsi="DIN-Bold"/>
                <w:b/>
                <w:bCs/>
                <w:sz w:val="18"/>
                <w:szCs w:val="18"/>
                <w:lang w:val="de-DE"/>
              </w:rPr>
            </w:pPr>
            <w:r w:rsidRPr="00333501">
              <w:rPr>
                <w:rFonts w:ascii="DIN-Bold" w:hAnsi="DIN-Bold"/>
                <w:b/>
                <w:bCs/>
                <w:sz w:val="18"/>
                <w:szCs w:val="18"/>
                <w:lang w:val="de-DE"/>
              </w:rPr>
              <w:t>Ziele</w:t>
            </w:r>
          </w:p>
        </w:tc>
      </w:tr>
      <w:tr w:rsidR="0074558C" w:rsidRPr="001370F9" w14:paraId="75AF65B2" w14:textId="77777777" w:rsidTr="0043594F">
        <w:tc>
          <w:tcPr>
            <w:tcW w:w="1187" w:type="dxa"/>
            <w:vMerge w:val="restart"/>
            <w:tcBorders>
              <w:top w:val="single" w:sz="4" w:space="0" w:color="auto"/>
            </w:tcBorders>
          </w:tcPr>
          <w:p w14:paraId="0ADB8525" w14:textId="1A74BF31" w:rsidR="0074558C" w:rsidRPr="00333501" w:rsidRDefault="0074558C" w:rsidP="0043594F">
            <w:pPr>
              <w:autoSpaceDE w:val="0"/>
              <w:autoSpaceDN w:val="0"/>
              <w:adjustRightInd w:val="0"/>
              <w:rPr>
                <w:rFonts w:ascii="DIN-Bold" w:hAnsi="DIN-Bold"/>
                <w:b/>
                <w:bCs/>
                <w:sz w:val="18"/>
                <w:szCs w:val="18"/>
                <w:lang w:val="de-DE"/>
              </w:rPr>
            </w:pPr>
            <w:r w:rsidRPr="00333501">
              <w:rPr>
                <w:rFonts w:ascii="DIN-Bold" w:hAnsi="DIN-Bold"/>
                <w:b/>
                <w:bCs/>
                <w:sz w:val="18"/>
                <w:szCs w:val="18"/>
                <w:lang w:val="de-DE"/>
              </w:rPr>
              <w:t>CO</w:t>
            </w:r>
            <w:r w:rsidRPr="00333501">
              <w:rPr>
                <w:rFonts w:ascii="DIN-Bold" w:hAnsi="DIN-Bold"/>
                <w:b/>
                <w:bCs/>
                <w:sz w:val="18"/>
                <w:szCs w:val="18"/>
                <w:vertAlign w:val="subscript"/>
                <w:lang w:val="de-DE"/>
              </w:rPr>
              <w:t>2</w:t>
            </w:r>
            <w:r w:rsidRPr="00333501">
              <w:rPr>
                <w:rFonts w:ascii="DIN-Bold" w:hAnsi="DIN-Bold"/>
                <w:b/>
                <w:bCs/>
                <w:sz w:val="18"/>
                <w:szCs w:val="18"/>
                <w:lang w:val="de-DE"/>
              </w:rPr>
              <w:t>/Energ</w:t>
            </w:r>
            <w:r w:rsidR="00333501" w:rsidRPr="00333501">
              <w:rPr>
                <w:rFonts w:ascii="DIN-Bold" w:hAnsi="DIN-Bold"/>
                <w:b/>
                <w:bCs/>
                <w:sz w:val="18"/>
                <w:szCs w:val="18"/>
                <w:lang w:val="de-DE"/>
              </w:rPr>
              <w:t>ie</w:t>
            </w:r>
          </w:p>
        </w:tc>
        <w:tc>
          <w:tcPr>
            <w:tcW w:w="3916" w:type="dxa"/>
            <w:tcBorders>
              <w:top w:val="single" w:sz="4" w:space="0" w:color="auto"/>
            </w:tcBorders>
          </w:tcPr>
          <w:p w14:paraId="228F90D2" w14:textId="0C32F885"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b/>
                <w:bCs/>
                <w:sz w:val="18"/>
                <w:szCs w:val="18"/>
                <w:lang w:val="de-DE"/>
              </w:rPr>
              <w:t>Own Impact:</w:t>
            </w:r>
            <w:r w:rsidRPr="00333501">
              <w:rPr>
                <w:rFonts w:ascii="DIN-Bold" w:hAnsi="DIN-Bold"/>
                <w:sz w:val="18"/>
                <w:szCs w:val="18"/>
                <w:lang w:val="de-DE"/>
              </w:rPr>
              <w:t xml:space="preserve"> CO</w:t>
            </w:r>
            <w:r w:rsidRPr="00333501">
              <w:rPr>
                <w:rFonts w:ascii="DIN-Bold" w:hAnsi="DIN-Bold"/>
                <w:sz w:val="18"/>
                <w:szCs w:val="18"/>
                <w:vertAlign w:val="subscript"/>
                <w:lang w:val="de-DE"/>
              </w:rPr>
              <w:t>2</w:t>
            </w:r>
            <w:r w:rsidR="0042283F">
              <w:rPr>
                <w:rFonts w:ascii="DIN-Bold" w:hAnsi="DIN-Bold"/>
                <w:sz w:val="18"/>
                <w:szCs w:val="18"/>
                <w:lang w:val="de-DE"/>
              </w:rPr>
              <w:t>-</w:t>
            </w:r>
            <w:r w:rsidR="0042283F" w:rsidRPr="0042283F">
              <w:rPr>
                <w:rFonts w:ascii="DIN-Bold" w:hAnsi="DIN-Bold"/>
                <w:sz w:val="18"/>
                <w:szCs w:val="18"/>
                <w:lang w:val="de-DE"/>
              </w:rPr>
              <w:t xml:space="preserve">Einsparungen </w:t>
            </w:r>
            <w:r w:rsidRPr="00333501">
              <w:rPr>
                <w:rFonts w:ascii="DIN-Bold" w:hAnsi="DIN-Bold"/>
                <w:sz w:val="18"/>
                <w:szCs w:val="18"/>
                <w:lang w:val="de-DE"/>
              </w:rPr>
              <w:t xml:space="preserve">in </w:t>
            </w:r>
            <w:r w:rsidR="0042283F">
              <w:rPr>
                <w:rFonts w:ascii="DIN-Bold" w:hAnsi="DIN-Bold"/>
                <w:sz w:val="18"/>
                <w:szCs w:val="18"/>
                <w:lang w:val="de-DE"/>
              </w:rPr>
              <w:t>unserer eigenen Wertschöpfungskette</w:t>
            </w:r>
            <w:r w:rsidR="0042283F" w:rsidRPr="0042283F">
              <w:rPr>
                <w:rFonts w:ascii="DIN-Bold" w:hAnsi="DIN-Bold"/>
                <w:sz w:val="18"/>
                <w:szCs w:val="18"/>
                <w:vertAlign w:val="superscript"/>
                <w:lang w:val="de-DE"/>
              </w:rPr>
              <w:t>3</w:t>
            </w:r>
          </w:p>
        </w:tc>
        <w:tc>
          <w:tcPr>
            <w:tcW w:w="1276" w:type="dxa"/>
            <w:tcBorders>
              <w:top w:val="single" w:sz="4" w:space="0" w:color="auto"/>
            </w:tcBorders>
          </w:tcPr>
          <w:p w14:paraId="78B37A7D" w14:textId="77777777"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w:t>
            </w:r>
          </w:p>
        </w:tc>
        <w:tc>
          <w:tcPr>
            <w:tcW w:w="1418" w:type="dxa"/>
            <w:tcBorders>
              <w:top w:val="single" w:sz="4" w:space="0" w:color="auto"/>
            </w:tcBorders>
          </w:tcPr>
          <w:p w14:paraId="186F0214" w14:textId="31F0C2A6"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16</w:t>
            </w:r>
            <w:r w:rsidR="0042283F">
              <w:rPr>
                <w:rFonts w:ascii="DIN-Bold" w:hAnsi="DIN-Bold"/>
                <w:sz w:val="18"/>
                <w:szCs w:val="18"/>
                <w:lang w:val="de-DE"/>
              </w:rPr>
              <w:t>,</w:t>
            </w:r>
            <w:r w:rsidRPr="00333501">
              <w:rPr>
                <w:rFonts w:ascii="DIN-Bold" w:hAnsi="DIN-Bold"/>
                <w:sz w:val="18"/>
                <w:szCs w:val="18"/>
                <w:lang w:val="de-DE"/>
              </w:rPr>
              <w:t xml:space="preserve">34 </w:t>
            </w:r>
            <w:proofErr w:type="spellStart"/>
            <w:r w:rsidRPr="00333501">
              <w:rPr>
                <w:rFonts w:ascii="DIN-Bold" w:hAnsi="DIN-Bold"/>
                <w:sz w:val="18"/>
                <w:szCs w:val="18"/>
                <w:lang w:val="de-DE"/>
              </w:rPr>
              <w:t>Mt</w:t>
            </w:r>
            <w:proofErr w:type="spellEnd"/>
            <w:r w:rsidRPr="00333501">
              <w:rPr>
                <w:rFonts w:ascii="DIN-Bold" w:hAnsi="DIN-Bold"/>
                <w:sz w:val="18"/>
                <w:szCs w:val="18"/>
                <w:lang w:val="de-DE"/>
              </w:rPr>
              <w:t xml:space="preserve"> </w:t>
            </w:r>
            <w:r w:rsidRPr="00333501">
              <w:rPr>
                <w:rFonts w:ascii="DIN-Bold" w:hAnsi="DIN-Bold"/>
                <w:sz w:val="18"/>
                <w:szCs w:val="18"/>
                <w:vertAlign w:val="superscript"/>
                <w:lang w:val="de-DE"/>
              </w:rPr>
              <w:t>4</w:t>
            </w:r>
          </w:p>
        </w:tc>
      </w:tr>
      <w:tr w:rsidR="0074558C" w:rsidRPr="001370F9" w14:paraId="363697B3" w14:textId="77777777" w:rsidTr="0043594F">
        <w:tc>
          <w:tcPr>
            <w:tcW w:w="1187" w:type="dxa"/>
            <w:vMerge/>
          </w:tcPr>
          <w:p w14:paraId="64DD52DA" w14:textId="77777777" w:rsidR="0074558C" w:rsidRPr="00333501" w:rsidRDefault="0074558C" w:rsidP="0043594F">
            <w:pPr>
              <w:autoSpaceDE w:val="0"/>
              <w:autoSpaceDN w:val="0"/>
              <w:adjustRightInd w:val="0"/>
              <w:rPr>
                <w:rFonts w:ascii="DIN-Bold" w:hAnsi="DIN-Bold"/>
                <w:sz w:val="18"/>
                <w:szCs w:val="18"/>
                <w:lang w:val="de-DE"/>
              </w:rPr>
            </w:pPr>
          </w:p>
        </w:tc>
        <w:tc>
          <w:tcPr>
            <w:tcW w:w="3916" w:type="dxa"/>
          </w:tcPr>
          <w:p w14:paraId="19C05255" w14:textId="73D5452C"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 xml:space="preserve">- </w:t>
            </w:r>
            <w:r w:rsidRPr="00333501">
              <w:rPr>
                <w:rFonts w:ascii="DIN-Bold" w:hAnsi="DIN-Bold"/>
                <w:b/>
                <w:bCs/>
                <w:sz w:val="18"/>
                <w:szCs w:val="18"/>
                <w:lang w:val="de-DE"/>
              </w:rPr>
              <w:t>Scopes 1&amp;2</w:t>
            </w:r>
            <w:r w:rsidRPr="00333501">
              <w:rPr>
                <w:rFonts w:ascii="DIN-Bold" w:hAnsi="DIN-Bold"/>
                <w:b/>
                <w:bCs/>
                <w:sz w:val="18"/>
                <w:szCs w:val="18"/>
                <w:vertAlign w:val="superscript"/>
                <w:lang w:val="de-DE"/>
              </w:rPr>
              <w:t>3</w:t>
            </w:r>
            <w:r w:rsidRPr="00333501">
              <w:rPr>
                <w:rFonts w:ascii="DIN-Bold" w:hAnsi="DIN-Bold"/>
                <w:sz w:val="18"/>
                <w:szCs w:val="18"/>
                <w:lang w:val="de-DE"/>
              </w:rPr>
              <w:t>: Zero-CO</w:t>
            </w:r>
            <w:r w:rsidRPr="00333501">
              <w:rPr>
                <w:rFonts w:ascii="DIN-Bold" w:hAnsi="DIN-Bold"/>
                <w:sz w:val="18"/>
                <w:szCs w:val="18"/>
                <w:vertAlign w:val="subscript"/>
                <w:lang w:val="de-DE"/>
              </w:rPr>
              <w:t>2</w:t>
            </w:r>
            <w:r w:rsidRPr="00333501">
              <w:rPr>
                <w:rFonts w:ascii="DIN-Bold" w:hAnsi="DIN-Bold"/>
                <w:sz w:val="18"/>
                <w:szCs w:val="18"/>
                <w:lang w:val="de-DE"/>
              </w:rPr>
              <w:t xml:space="preserve"> </w:t>
            </w:r>
            <w:r w:rsidR="0042283F">
              <w:rPr>
                <w:rFonts w:ascii="DIN-Bold" w:hAnsi="DIN-Bold"/>
                <w:sz w:val="18"/>
                <w:szCs w:val="18"/>
                <w:lang w:val="de-DE"/>
              </w:rPr>
              <w:t>Fabriken</w:t>
            </w:r>
          </w:p>
        </w:tc>
        <w:tc>
          <w:tcPr>
            <w:tcW w:w="1276" w:type="dxa"/>
          </w:tcPr>
          <w:p w14:paraId="02235841" w14:textId="4BD16EB9"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 xml:space="preserve">7 </w:t>
            </w:r>
            <w:r w:rsidR="00333501">
              <w:rPr>
                <w:rFonts w:ascii="DIN-Bold" w:hAnsi="DIN-Bold"/>
                <w:sz w:val="18"/>
                <w:szCs w:val="18"/>
                <w:lang w:val="de-DE"/>
              </w:rPr>
              <w:t>Fabriken</w:t>
            </w:r>
          </w:p>
        </w:tc>
        <w:tc>
          <w:tcPr>
            <w:tcW w:w="1418" w:type="dxa"/>
          </w:tcPr>
          <w:p w14:paraId="20FD7322" w14:textId="37C08A26"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 xml:space="preserve">37 </w:t>
            </w:r>
            <w:r w:rsidR="00333501">
              <w:rPr>
                <w:rFonts w:ascii="DIN-Bold" w:hAnsi="DIN-Bold"/>
                <w:sz w:val="18"/>
                <w:szCs w:val="18"/>
                <w:lang w:val="de-DE"/>
              </w:rPr>
              <w:t>Fabriken</w:t>
            </w:r>
          </w:p>
        </w:tc>
      </w:tr>
      <w:tr w:rsidR="0074558C" w:rsidRPr="001370F9" w14:paraId="16A6D679" w14:textId="77777777" w:rsidTr="0043594F">
        <w:tc>
          <w:tcPr>
            <w:tcW w:w="1187" w:type="dxa"/>
            <w:vMerge/>
          </w:tcPr>
          <w:p w14:paraId="67668F48" w14:textId="77777777" w:rsidR="0074558C" w:rsidRPr="00333501" w:rsidRDefault="0074558C" w:rsidP="0043594F">
            <w:pPr>
              <w:autoSpaceDE w:val="0"/>
              <w:autoSpaceDN w:val="0"/>
              <w:adjustRightInd w:val="0"/>
              <w:rPr>
                <w:rFonts w:ascii="DIN-Bold" w:hAnsi="DIN-Bold"/>
                <w:sz w:val="18"/>
                <w:szCs w:val="18"/>
                <w:lang w:val="de-DE"/>
              </w:rPr>
            </w:pPr>
          </w:p>
        </w:tc>
        <w:tc>
          <w:tcPr>
            <w:tcW w:w="3916" w:type="dxa"/>
          </w:tcPr>
          <w:p w14:paraId="6493B484" w14:textId="76593F90"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 xml:space="preserve">- </w:t>
            </w:r>
            <w:r w:rsidRPr="00333501">
              <w:rPr>
                <w:rFonts w:ascii="DIN-Bold" w:hAnsi="DIN-Bold"/>
                <w:b/>
                <w:bCs/>
                <w:sz w:val="18"/>
                <w:szCs w:val="18"/>
                <w:lang w:val="de-DE"/>
              </w:rPr>
              <w:t>Scopes 1&amp;2</w:t>
            </w:r>
            <w:r w:rsidRPr="00333501">
              <w:rPr>
                <w:rFonts w:ascii="DIN-Bold" w:hAnsi="DIN-Bold"/>
                <w:b/>
                <w:bCs/>
                <w:sz w:val="18"/>
                <w:szCs w:val="18"/>
                <w:vertAlign w:val="superscript"/>
                <w:lang w:val="de-DE"/>
              </w:rPr>
              <w:t>3</w:t>
            </w:r>
            <w:r w:rsidRPr="00333501">
              <w:rPr>
                <w:rFonts w:ascii="DIN-Bold" w:hAnsi="DIN-Bold"/>
                <w:sz w:val="18"/>
                <w:szCs w:val="18"/>
                <w:lang w:val="de-DE"/>
              </w:rPr>
              <w:t>: CO</w:t>
            </w:r>
            <w:r w:rsidRPr="00333501">
              <w:rPr>
                <w:rFonts w:ascii="DIN-Bold" w:hAnsi="DIN-Bold"/>
                <w:sz w:val="18"/>
                <w:szCs w:val="18"/>
                <w:vertAlign w:val="subscript"/>
                <w:lang w:val="de-DE"/>
              </w:rPr>
              <w:t>2</w:t>
            </w:r>
            <w:r w:rsidR="0042283F">
              <w:rPr>
                <w:rFonts w:ascii="DIN-Bold" w:hAnsi="DIN-Bold"/>
                <w:sz w:val="18"/>
                <w:szCs w:val="18"/>
                <w:lang w:val="de-DE"/>
              </w:rPr>
              <w:t>-Einsparungen</w:t>
            </w:r>
          </w:p>
        </w:tc>
        <w:tc>
          <w:tcPr>
            <w:tcW w:w="1276" w:type="dxa"/>
          </w:tcPr>
          <w:p w14:paraId="1181135B" w14:textId="77777777"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w:t>
            </w:r>
          </w:p>
        </w:tc>
        <w:tc>
          <w:tcPr>
            <w:tcW w:w="1418" w:type="dxa"/>
          </w:tcPr>
          <w:p w14:paraId="1FD05703" w14:textId="10AE3453"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0</w:t>
            </w:r>
            <w:r w:rsidR="0042283F">
              <w:rPr>
                <w:rFonts w:ascii="DIN-Bold" w:hAnsi="DIN-Bold"/>
                <w:sz w:val="18"/>
                <w:szCs w:val="18"/>
                <w:lang w:val="de-DE"/>
              </w:rPr>
              <w:t>,</w:t>
            </w:r>
            <w:r w:rsidRPr="00333501">
              <w:rPr>
                <w:rFonts w:ascii="DIN-Bold" w:hAnsi="DIN-Bold"/>
                <w:sz w:val="18"/>
                <w:szCs w:val="18"/>
                <w:lang w:val="de-DE"/>
              </w:rPr>
              <w:t xml:space="preserve">26 </w:t>
            </w:r>
            <w:proofErr w:type="spellStart"/>
            <w:r w:rsidRPr="00333501">
              <w:rPr>
                <w:rFonts w:ascii="DIN-Bold" w:hAnsi="DIN-Bold"/>
                <w:sz w:val="18"/>
                <w:szCs w:val="18"/>
                <w:lang w:val="de-DE"/>
              </w:rPr>
              <w:t>Mt</w:t>
            </w:r>
            <w:proofErr w:type="spellEnd"/>
            <w:r w:rsidRPr="00333501">
              <w:rPr>
                <w:rFonts w:ascii="DIN-Bold" w:hAnsi="DIN-Bold"/>
                <w:sz w:val="18"/>
                <w:szCs w:val="18"/>
                <w:lang w:val="de-DE"/>
              </w:rPr>
              <w:t xml:space="preserve"> </w:t>
            </w:r>
            <w:r w:rsidRPr="00333501">
              <w:rPr>
                <w:rFonts w:ascii="DIN-Bold" w:hAnsi="DIN-Bold"/>
                <w:sz w:val="18"/>
                <w:szCs w:val="18"/>
                <w:vertAlign w:val="superscript"/>
                <w:lang w:val="de-DE"/>
              </w:rPr>
              <w:t>4</w:t>
            </w:r>
          </w:p>
        </w:tc>
      </w:tr>
      <w:tr w:rsidR="0074558C" w:rsidRPr="001370F9" w14:paraId="14E48F4B" w14:textId="77777777" w:rsidTr="0043594F">
        <w:tc>
          <w:tcPr>
            <w:tcW w:w="1187" w:type="dxa"/>
            <w:vMerge/>
          </w:tcPr>
          <w:p w14:paraId="197EA545" w14:textId="77777777" w:rsidR="0074558C" w:rsidRPr="00333501" w:rsidRDefault="0074558C" w:rsidP="0043594F">
            <w:pPr>
              <w:autoSpaceDE w:val="0"/>
              <w:autoSpaceDN w:val="0"/>
              <w:adjustRightInd w:val="0"/>
              <w:rPr>
                <w:rFonts w:ascii="DIN-Bold" w:hAnsi="DIN-Bold"/>
                <w:sz w:val="18"/>
                <w:szCs w:val="18"/>
                <w:lang w:val="de-DE"/>
              </w:rPr>
            </w:pPr>
          </w:p>
        </w:tc>
        <w:tc>
          <w:tcPr>
            <w:tcW w:w="3916" w:type="dxa"/>
          </w:tcPr>
          <w:p w14:paraId="2A96FC38" w14:textId="05800C7D"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 xml:space="preserve">- </w:t>
            </w:r>
            <w:proofErr w:type="spellStart"/>
            <w:r w:rsidRPr="00333501">
              <w:rPr>
                <w:rFonts w:ascii="DIN-Bold" w:hAnsi="DIN-Bold"/>
                <w:b/>
                <w:bCs/>
                <w:sz w:val="18"/>
                <w:szCs w:val="18"/>
                <w:lang w:val="de-DE"/>
              </w:rPr>
              <w:t>Scope</w:t>
            </w:r>
            <w:proofErr w:type="spellEnd"/>
            <w:r w:rsidRPr="00333501">
              <w:rPr>
                <w:rFonts w:ascii="DIN-Bold" w:hAnsi="DIN-Bold"/>
                <w:b/>
                <w:bCs/>
                <w:sz w:val="18"/>
                <w:szCs w:val="18"/>
                <w:lang w:val="de-DE"/>
              </w:rPr>
              <w:t xml:space="preserve"> 3</w:t>
            </w:r>
            <w:r w:rsidRPr="00333501">
              <w:rPr>
                <w:rFonts w:ascii="DIN-Bold" w:hAnsi="DIN-Bold"/>
                <w:b/>
                <w:bCs/>
                <w:sz w:val="18"/>
                <w:szCs w:val="18"/>
                <w:vertAlign w:val="superscript"/>
                <w:lang w:val="de-DE"/>
              </w:rPr>
              <w:t>3</w:t>
            </w:r>
            <w:r w:rsidRPr="00333501">
              <w:rPr>
                <w:rFonts w:ascii="DIN-Bold" w:hAnsi="DIN-Bold"/>
                <w:sz w:val="18"/>
                <w:szCs w:val="18"/>
                <w:lang w:val="de-DE"/>
              </w:rPr>
              <w:t>: CO</w:t>
            </w:r>
            <w:r w:rsidRPr="00333501">
              <w:rPr>
                <w:rFonts w:ascii="DIN-Bold" w:hAnsi="DIN-Bold"/>
                <w:sz w:val="18"/>
                <w:szCs w:val="18"/>
                <w:vertAlign w:val="subscript"/>
                <w:lang w:val="de-DE"/>
              </w:rPr>
              <w:t>2</w:t>
            </w:r>
            <w:r w:rsidR="0042283F" w:rsidRPr="0042283F">
              <w:rPr>
                <w:rFonts w:ascii="DIN-Bold" w:hAnsi="DIN-Bold"/>
                <w:sz w:val="18"/>
                <w:szCs w:val="18"/>
                <w:lang w:val="de-DE"/>
              </w:rPr>
              <w:t>-Einsparungen bei der Verwendung unserer Produkte durch die Kunden</w:t>
            </w:r>
          </w:p>
        </w:tc>
        <w:tc>
          <w:tcPr>
            <w:tcW w:w="1276" w:type="dxa"/>
          </w:tcPr>
          <w:p w14:paraId="7D56B400" w14:textId="77777777"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w:t>
            </w:r>
          </w:p>
        </w:tc>
        <w:tc>
          <w:tcPr>
            <w:tcW w:w="1418" w:type="dxa"/>
          </w:tcPr>
          <w:p w14:paraId="02446508" w14:textId="62D02B26"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16</w:t>
            </w:r>
            <w:r w:rsidR="0042283F">
              <w:rPr>
                <w:rFonts w:ascii="DIN-Bold" w:hAnsi="DIN-Bold"/>
                <w:sz w:val="18"/>
                <w:szCs w:val="18"/>
                <w:lang w:val="de-DE"/>
              </w:rPr>
              <w:t>,</w:t>
            </w:r>
            <w:r w:rsidRPr="00333501">
              <w:rPr>
                <w:rFonts w:ascii="DIN-Bold" w:hAnsi="DIN-Bold"/>
                <w:sz w:val="18"/>
                <w:szCs w:val="18"/>
                <w:lang w:val="de-DE"/>
              </w:rPr>
              <w:t xml:space="preserve">08 </w:t>
            </w:r>
            <w:proofErr w:type="spellStart"/>
            <w:r w:rsidRPr="00333501">
              <w:rPr>
                <w:rFonts w:ascii="DIN-Bold" w:hAnsi="DIN-Bold"/>
                <w:sz w:val="18"/>
                <w:szCs w:val="18"/>
                <w:lang w:val="de-DE"/>
              </w:rPr>
              <w:t>Mt</w:t>
            </w:r>
            <w:proofErr w:type="spellEnd"/>
            <w:r w:rsidRPr="00333501">
              <w:rPr>
                <w:rFonts w:ascii="DIN-Bold" w:hAnsi="DIN-Bold"/>
                <w:sz w:val="18"/>
                <w:szCs w:val="18"/>
                <w:lang w:val="de-DE"/>
              </w:rPr>
              <w:t xml:space="preserve"> </w:t>
            </w:r>
            <w:r w:rsidRPr="00333501">
              <w:rPr>
                <w:rFonts w:ascii="DIN-Bold" w:hAnsi="DIN-Bold"/>
                <w:sz w:val="18"/>
                <w:szCs w:val="18"/>
                <w:vertAlign w:val="superscript"/>
                <w:lang w:val="de-DE"/>
              </w:rPr>
              <w:t>4</w:t>
            </w:r>
          </w:p>
        </w:tc>
      </w:tr>
      <w:tr w:rsidR="0074558C" w:rsidRPr="001370F9" w14:paraId="44240716" w14:textId="77777777" w:rsidTr="0043594F">
        <w:tc>
          <w:tcPr>
            <w:tcW w:w="1187" w:type="dxa"/>
            <w:vMerge/>
          </w:tcPr>
          <w:p w14:paraId="1F59EA3F" w14:textId="77777777" w:rsidR="0074558C" w:rsidRPr="00333501" w:rsidRDefault="0074558C" w:rsidP="0043594F">
            <w:pPr>
              <w:autoSpaceDE w:val="0"/>
              <w:autoSpaceDN w:val="0"/>
              <w:adjustRightInd w:val="0"/>
              <w:rPr>
                <w:rFonts w:ascii="DIN-Bold" w:hAnsi="DIN-Bold"/>
                <w:sz w:val="18"/>
                <w:szCs w:val="18"/>
                <w:lang w:val="de-DE"/>
              </w:rPr>
            </w:pPr>
          </w:p>
        </w:tc>
        <w:tc>
          <w:tcPr>
            <w:tcW w:w="3916" w:type="dxa"/>
          </w:tcPr>
          <w:p w14:paraId="577C2DA1" w14:textId="65D084E2" w:rsidR="0074558C" w:rsidRPr="00333501" w:rsidRDefault="0074558C" w:rsidP="0043594F">
            <w:pPr>
              <w:autoSpaceDE w:val="0"/>
              <w:autoSpaceDN w:val="0"/>
              <w:adjustRightInd w:val="0"/>
              <w:rPr>
                <w:rFonts w:ascii="DIN-Bold" w:hAnsi="DIN-Bold"/>
                <w:sz w:val="18"/>
                <w:szCs w:val="18"/>
                <w:lang w:val="de-DE"/>
              </w:rPr>
            </w:pPr>
            <w:proofErr w:type="spellStart"/>
            <w:r w:rsidRPr="00333501">
              <w:rPr>
                <w:rFonts w:ascii="DIN-Bold" w:hAnsi="DIN-Bold"/>
                <w:b/>
                <w:bCs/>
                <w:sz w:val="18"/>
                <w:szCs w:val="18"/>
                <w:lang w:val="de-DE"/>
              </w:rPr>
              <w:t>Contribution</w:t>
            </w:r>
            <w:proofErr w:type="spellEnd"/>
            <w:r w:rsidRPr="00333501">
              <w:rPr>
                <w:rFonts w:ascii="DIN-Bold" w:hAnsi="DIN-Bold"/>
                <w:b/>
                <w:bCs/>
                <w:sz w:val="18"/>
                <w:szCs w:val="18"/>
                <w:lang w:val="de-DE"/>
              </w:rPr>
              <w:t xml:space="preserve"> Impact</w:t>
            </w:r>
            <w:r w:rsidRPr="00333501">
              <w:rPr>
                <w:rFonts w:ascii="DIN-Bold" w:hAnsi="DIN-Bold"/>
                <w:sz w:val="18"/>
                <w:szCs w:val="18"/>
                <w:lang w:val="de-DE"/>
              </w:rPr>
              <w:t xml:space="preserve">: </w:t>
            </w:r>
            <w:r w:rsidR="0042283F">
              <w:rPr>
                <w:rFonts w:ascii="DIN-Bold" w:hAnsi="DIN-Bold"/>
                <w:sz w:val="18"/>
                <w:szCs w:val="18"/>
                <w:lang w:val="de-DE"/>
              </w:rPr>
              <w:t>„</w:t>
            </w:r>
            <w:r w:rsidR="0042283F" w:rsidRPr="0042283F">
              <w:rPr>
                <w:rFonts w:ascii="DIN-Bold" w:hAnsi="DIN-Bold"/>
                <w:sz w:val="18"/>
                <w:szCs w:val="18"/>
                <w:lang w:val="de-DE"/>
              </w:rPr>
              <w:t>Verm</w:t>
            </w:r>
            <w:r w:rsidR="0042283F">
              <w:rPr>
                <w:rFonts w:ascii="DIN-Bold" w:hAnsi="DIN-Bold"/>
                <w:sz w:val="18"/>
                <w:szCs w:val="18"/>
                <w:lang w:val="de-DE"/>
              </w:rPr>
              <w:t>iedene</w:t>
            </w:r>
            <w:r w:rsidR="0042283F" w:rsidRPr="0042283F">
              <w:rPr>
                <w:rFonts w:ascii="DIN-Bold" w:hAnsi="DIN-Bold"/>
                <w:sz w:val="18"/>
                <w:szCs w:val="18"/>
                <w:lang w:val="de-DE"/>
              </w:rPr>
              <w:t xml:space="preserve"> Emissionen</w:t>
            </w:r>
            <w:r w:rsidR="0042283F">
              <w:rPr>
                <w:rFonts w:ascii="DIN-Bold" w:hAnsi="DIN-Bold"/>
                <w:sz w:val="18"/>
                <w:szCs w:val="18"/>
                <w:lang w:val="de-DE"/>
              </w:rPr>
              <w:t>“</w:t>
            </w:r>
            <w:r w:rsidR="0042283F" w:rsidRPr="0042283F">
              <w:rPr>
                <w:rFonts w:ascii="DIN-Bold" w:hAnsi="DIN-Bold"/>
                <w:sz w:val="18"/>
                <w:szCs w:val="18"/>
                <w:lang w:val="de-DE"/>
              </w:rPr>
              <w:t xml:space="preserve"> für die Gesellschaft</w:t>
            </w:r>
          </w:p>
        </w:tc>
        <w:tc>
          <w:tcPr>
            <w:tcW w:w="1276" w:type="dxa"/>
          </w:tcPr>
          <w:p w14:paraId="51EF62E9" w14:textId="0E7EC948"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23</w:t>
            </w:r>
            <w:r w:rsidR="0042283F">
              <w:rPr>
                <w:rFonts w:ascii="DIN-Bold" w:hAnsi="DIN-Bold"/>
                <w:sz w:val="18"/>
                <w:szCs w:val="18"/>
                <w:lang w:val="de-DE"/>
              </w:rPr>
              <w:t>,</w:t>
            </w:r>
            <w:r w:rsidRPr="00333501">
              <w:rPr>
                <w:rFonts w:ascii="DIN-Bold" w:hAnsi="DIN-Bold"/>
                <w:sz w:val="18"/>
                <w:szCs w:val="18"/>
                <w:lang w:val="de-DE"/>
              </w:rPr>
              <w:t xml:space="preserve">47 </w:t>
            </w:r>
            <w:proofErr w:type="spellStart"/>
            <w:r w:rsidRPr="00333501">
              <w:rPr>
                <w:rFonts w:ascii="DIN-Bold" w:hAnsi="DIN-Bold"/>
                <w:sz w:val="18"/>
                <w:szCs w:val="18"/>
                <w:lang w:val="de-DE"/>
              </w:rPr>
              <w:t>Mt</w:t>
            </w:r>
            <w:proofErr w:type="spellEnd"/>
          </w:p>
        </w:tc>
        <w:tc>
          <w:tcPr>
            <w:tcW w:w="1418" w:type="dxa"/>
          </w:tcPr>
          <w:p w14:paraId="67B27449" w14:textId="1C20DBB5"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38</w:t>
            </w:r>
            <w:r w:rsidR="0042283F">
              <w:rPr>
                <w:rFonts w:ascii="DIN-Bold" w:hAnsi="DIN-Bold"/>
                <w:sz w:val="18"/>
                <w:szCs w:val="18"/>
                <w:lang w:val="de-DE"/>
              </w:rPr>
              <w:t>,</w:t>
            </w:r>
            <w:r w:rsidRPr="00333501">
              <w:rPr>
                <w:rFonts w:ascii="DIN-Bold" w:hAnsi="DIN-Bold"/>
                <w:sz w:val="18"/>
                <w:szCs w:val="18"/>
                <w:lang w:val="de-DE"/>
              </w:rPr>
              <w:t xml:space="preserve">3 </w:t>
            </w:r>
            <w:proofErr w:type="spellStart"/>
            <w:r w:rsidRPr="00333501">
              <w:rPr>
                <w:rFonts w:ascii="DIN-Bold" w:hAnsi="DIN-Bold"/>
                <w:sz w:val="18"/>
                <w:szCs w:val="18"/>
                <w:lang w:val="de-DE"/>
              </w:rPr>
              <w:t>Mt</w:t>
            </w:r>
            <w:proofErr w:type="spellEnd"/>
            <w:r w:rsidRPr="00333501">
              <w:rPr>
                <w:rFonts w:ascii="DIN-Bold" w:hAnsi="DIN-Bold"/>
                <w:sz w:val="18"/>
                <w:szCs w:val="18"/>
                <w:lang w:val="de-DE"/>
              </w:rPr>
              <w:t xml:space="preserve"> </w:t>
            </w:r>
            <w:r w:rsidRPr="00333501">
              <w:rPr>
                <w:rFonts w:ascii="DIN-Bold" w:hAnsi="DIN-Bold"/>
                <w:sz w:val="18"/>
                <w:szCs w:val="18"/>
                <w:vertAlign w:val="superscript"/>
                <w:lang w:val="de-DE"/>
              </w:rPr>
              <w:t>4</w:t>
            </w:r>
          </w:p>
        </w:tc>
      </w:tr>
      <w:tr w:rsidR="0074558C" w:rsidRPr="001370F9" w14:paraId="08056F4E" w14:textId="77777777" w:rsidTr="0043594F">
        <w:tc>
          <w:tcPr>
            <w:tcW w:w="1187" w:type="dxa"/>
            <w:vMerge w:val="restart"/>
          </w:tcPr>
          <w:p w14:paraId="3530A66B" w14:textId="11F45191" w:rsidR="0074558C" w:rsidRPr="00333501" w:rsidRDefault="0074558C" w:rsidP="0043594F">
            <w:pPr>
              <w:autoSpaceDE w:val="0"/>
              <w:autoSpaceDN w:val="0"/>
              <w:adjustRightInd w:val="0"/>
              <w:rPr>
                <w:rFonts w:ascii="DIN-Bold" w:hAnsi="DIN-Bold"/>
                <w:b/>
                <w:bCs/>
                <w:sz w:val="18"/>
                <w:szCs w:val="18"/>
                <w:lang w:val="de-DE"/>
              </w:rPr>
            </w:pPr>
            <w:r w:rsidRPr="00333501">
              <w:rPr>
                <w:rFonts w:ascii="DIN-Bold" w:hAnsi="DIN-Bold"/>
                <w:b/>
                <w:bCs/>
                <w:sz w:val="18"/>
                <w:szCs w:val="18"/>
                <w:lang w:val="de-DE"/>
              </w:rPr>
              <w:t>Res</w:t>
            </w:r>
            <w:r w:rsidR="00333501" w:rsidRPr="00333501">
              <w:rPr>
                <w:rFonts w:ascii="DIN-Bold" w:hAnsi="DIN-Bold"/>
                <w:b/>
                <w:bCs/>
                <w:sz w:val="18"/>
                <w:szCs w:val="18"/>
                <w:lang w:val="de-DE"/>
              </w:rPr>
              <w:t>s</w:t>
            </w:r>
            <w:r w:rsidRPr="00333501">
              <w:rPr>
                <w:rFonts w:ascii="DIN-Bold" w:hAnsi="DIN-Bold"/>
                <w:b/>
                <w:bCs/>
                <w:sz w:val="18"/>
                <w:szCs w:val="18"/>
                <w:lang w:val="de-DE"/>
              </w:rPr>
              <w:t>ource</w:t>
            </w:r>
            <w:r w:rsidR="00333501" w:rsidRPr="00333501">
              <w:rPr>
                <w:rFonts w:ascii="DIN-Bold" w:hAnsi="DIN-Bold"/>
                <w:b/>
                <w:bCs/>
                <w:sz w:val="18"/>
                <w:szCs w:val="18"/>
                <w:lang w:val="de-DE"/>
              </w:rPr>
              <w:t>n</w:t>
            </w:r>
            <w:r w:rsidRPr="00333501">
              <w:rPr>
                <w:rFonts w:ascii="DIN-Bold" w:hAnsi="DIN-Bold"/>
                <w:b/>
                <w:bCs/>
                <w:sz w:val="18"/>
                <w:szCs w:val="18"/>
                <w:lang w:val="de-DE"/>
              </w:rPr>
              <w:t>/ CE</w:t>
            </w:r>
            <w:r w:rsidRPr="00333501">
              <w:rPr>
                <w:rFonts w:ascii="DIN-Bold" w:hAnsi="DIN-Bold"/>
                <w:b/>
                <w:bCs/>
                <w:sz w:val="18"/>
                <w:szCs w:val="18"/>
                <w:vertAlign w:val="superscript"/>
                <w:lang w:val="de-DE"/>
              </w:rPr>
              <w:t>5</w:t>
            </w:r>
            <w:r w:rsidRPr="00333501">
              <w:rPr>
                <w:rFonts w:ascii="DIN-Bold" w:hAnsi="DIN-Bold"/>
                <w:b/>
                <w:bCs/>
                <w:sz w:val="18"/>
                <w:szCs w:val="18"/>
                <w:lang w:val="de-DE"/>
              </w:rPr>
              <w:t xml:space="preserve"> </w:t>
            </w:r>
          </w:p>
        </w:tc>
        <w:tc>
          <w:tcPr>
            <w:tcW w:w="3916" w:type="dxa"/>
          </w:tcPr>
          <w:p w14:paraId="266D1F07" w14:textId="26017DC9" w:rsidR="0074558C" w:rsidRPr="00333501" w:rsidRDefault="0042283F" w:rsidP="0043594F">
            <w:pPr>
              <w:autoSpaceDE w:val="0"/>
              <w:autoSpaceDN w:val="0"/>
              <w:adjustRightInd w:val="0"/>
              <w:rPr>
                <w:rFonts w:ascii="DIN-Bold" w:hAnsi="DIN-Bold"/>
                <w:sz w:val="18"/>
                <w:szCs w:val="18"/>
                <w:lang w:val="de-DE"/>
              </w:rPr>
            </w:pPr>
            <w:r w:rsidRPr="0042283F">
              <w:rPr>
                <w:rFonts w:ascii="DIN-Bold" w:hAnsi="DIN-Bold"/>
                <w:sz w:val="18"/>
                <w:szCs w:val="18"/>
                <w:lang w:val="de-DE"/>
              </w:rPr>
              <w:t>Recycling-Quote von Fabrikabfällen</w:t>
            </w:r>
          </w:p>
        </w:tc>
        <w:tc>
          <w:tcPr>
            <w:tcW w:w="1276" w:type="dxa"/>
          </w:tcPr>
          <w:p w14:paraId="434C264F" w14:textId="0A175440"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98</w:t>
            </w:r>
            <w:r w:rsidR="0042283F">
              <w:rPr>
                <w:rFonts w:ascii="DIN-Bold" w:hAnsi="DIN-Bold"/>
                <w:sz w:val="18"/>
                <w:szCs w:val="18"/>
                <w:lang w:val="de-DE"/>
              </w:rPr>
              <w:t>,</w:t>
            </w:r>
            <w:r w:rsidRPr="00333501">
              <w:rPr>
                <w:rFonts w:ascii="DIN-Bold" w:hAnsi="DIN-Bold"/>
                <w:sz w:val="18"/>
                <w:szCs w:val="18"/>
                <w:lang w:val="de-DE"/>
              </w:rPr>
              <w:t>7%</w:t>
            </w:r>
          </w:p>
        </w:tc>
        <w:tc>
          <w:tcPr>
            <w:tcW w:w="1418" w:type="dxa"/>
          </w:tcPr>
          <w:p w14:paraId="5B668B93" w14:textId="120F8058"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 xml:space="preserve">99% </w:t>
            </w:r>
            <w:r w:rsidR="00333501" w:rsidRPr="00333501">
              <w:rPr>
                <w:rFonts w:ascii="DIN-Bold" w:hAnsi="DIN-Bold"/>
                <w:sz w:val="18"/>
                <w:szCs w:val="18"/>
                <w:lang w:val="de-DE"/>
              </w:rPr>
              <w:t>oder mehr</w:t>
            </w:r>
          </w:p>
        </w:tc>
      </w:tr>
      <w:tr w:rsidR="0074558C" w:rsidRPr="001370F9" w14:paraId="3D721E99" w14:textId="77777777" w:rsidTr="0043594F">
        <w:tc>
          <w:tcPr>
            <w:tcW w:w="1187" w:type="dxa"/>
            <w:vMerge/>
          </w:tcPr>
          <w:p w14:paraId="538BC233" w14:textId="77777777" w:rsidR="0074558C" w:rsidRPr="00333501" w:rsidRDefault="0074558C" w:rsidP="0043594F">
            <w:pPr>
              <w:autoSpaceDE w:val="0"/>
              <w:autoSpaceDN w:val="0"/>
              <w:adjustRightInd w:val="0"/>
              <w:rPr>
                <w:rFonts w:asciiTheme="majorHAnsi" w:hAnsiTheme="majorHAnsi" w:cstheme="majorHAnsi"/>
                <w:sz w:val="18"/>
                <w:szCs w:val="18"/>
              </w:rPr>
            </w:pPr>
          </w:p>
        </w:tc>
        <w:tc>
          <w:tcPr>
            <w:tcW w:w="3916" w:type="dxa"/>
          </w:tcPr>
          <w:p w14:paraId="33A60794" w14:textId="53C6EB68" w:rsidR="0074558C" w:rsidRPr="00333501" w:rsidRDefault="0042283F" w:rsidP="0043594F">
            <w:pPr>
              <w:autoSpaceDE w:val="0"/>
              <w:autoSpaceDN w:val="0"/>
              <w:adjustRightInd w:val="0"/>
              <w:rPr>
                <w:rFonts w:ascii="DIN-Bold" w:hAnsi="DIN-Bold"/>
                <w:sz w:val="18"/>
                <w:szCs w:val="18"/>
                <w:lang w:val="de-DE"/>
              </w:rPr>
            </w:pPr>
            <w:r w:rsidRPr="0042283F">
              <w:rPr>
                <w:rFonts w:ascii="DIN-Bold" w:hAnsi="DIN-Bold"/>
                <w:sz w:val="18"/>
                <w:szCs w:val="18"/>
                <w:lang w:val="de-DE"/>
              </w:rPr>
              <w:t>Verwendung von recyceltem Kunststoff (3-Jahres-Summe</w:t>
            </w:r>
            <w:r w:rsidR="0074558C" w:rsidRPr="00333501">
              <w:rPr>
                <w:rFonts w:ascii="DIN-Bold" w:hAnsi="DIN-Bold"/>
                <w:sz w:val="18"/>
                <w:szCs w:val="18"/>
                <w:vertAlign w:val="superscript"/>
                <w:lang w:val="de-DE"/>
              </w:rPr>
              <w:t>6</w:t>
            </w:r>
            <w:r w:rsidR="0074558C" w:rsidRPr="00333501">
              <w:rPr>
                <w:rFonts w:ascii="DIN-Bold" w:hAnsi="DIN-Bold"/>
                <w:sz w:val="18"/>
                <w:szCs w:val="18"/>
                <w:lang w:val="de-DE"/>
              </w:rPr>
              <w:t>)</w:t>
            </w:r>
          </w:p>
        </w:tc>
        <w:tc>
          <w:tcPr>
            <w:tcW w:w="1276" w:type="dxa"/>
          </w:tcPr>
          <w:p w14:paraId="037D8592" w14:textId="120B6D53"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43</w:t>
            </w:r>
            <w:r w:rsidR="0042283F">
              <w:rPr>
                <w:rFonts w:ascii="DIN-Bold" w:hAnsi="DIN-Bold"/>
                <w:sz w:val="18"/>
                <w:szCs w:val="18"/>
                <w:lang w:val="de-DE"/>
              </w:rPr>
              <w:t>,</w:t>
            </w:r>
            <w:r w:rsidRPr="00333501">
              <w:rPr>
                <w:rFonts w:ascii="DIN-Bold" w:hAnsi="DIN-Bold"/>
                <w:sz w:val="18"/>
                <w:szCs w:val="18"/>
                <w:lang w:val="de-DE"/>
              </w:rPr>
              <w:t>3 Kt</w:t>
            </w:r>
          </w:p>
        </w:tc>
        <w:tc>
          <w:tcPr>
            <w:tcW w:w="1418" w:type="dxa"/>
          </w:tcPr>
          <w:p w14:paraId="0179EC7D" w14:textId="77777777"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90 Kt</w:t>
            </w:r>
          </w:p>
        </w:tc>
      </w:tr>
      <w:tr w:rsidR="0074558C" w:rsidRPr="001370F9" w14:paraId="77EF6F85" w14:textId="77777777" w:rsidTr="0043594F">
        <w:tc>
          <w:tcPr>
            <w:tcW w:w="1187" w:type="dxa"/>
            <w:vMerge/>
          </w:tcPr>
          <w:p w14:paraId="5E0CAD59" w14:textId="77777777" w:rsidR="0074558C" w:rsidRPr="00333501" w:rsidRDefault="0074558C" w:rsidP="0043594F">
            <w:pPr>
              <w:autoSpaceDE w:val="0"/>
              <w:autoSpaceDN w:val="0"/>
              <w:adjustRightInd w:val="0"/>
              <w:rPr>
                <w:rFonts w:asciiTheme="majorHAnsi" w:hAnsiTheme="majorHAnsi" w:cstheme="majorHAnsi"/>
                <w:sz w:val="18"/>
                <w:szCs w:val="18"/>
              </w:rPr>
            </w:pPr>
          </w:p>
        </w:tc>
        <w:tc>
          <w:tcPr>
            <w:tcW w:w="3916" w:type="dxa"/>
          </w:tcPr>
          <w:p w14:paraId="27630580" w14:textId="45A6D151"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CE-b</w:t>
            </w:r>
            <w:r w:rsidR="0042283F">
              <w:rPr>
                <w:rFonts w:ascii="DIN-Bold" w:hAnsi="DIN-Bold"/>
                <w:sz w:val="18"/>
                <w:szCs w:val="18"/>
                <w:lang w:val="de-DE"/>
              </w:rPr>
              <w:t>asierte</w:t>
            </w:r>
            <w:r w:rsidRPr="00333501">
              <w:rPr>
                <w:rFonts w:ascii="DIN-Bold" w:hAnsi="DIN-Bold"/>
                <w:sz w:val="18"/>
                <w:szCs w:val="18"/>
                <w:lang w:val="de-DE"/>
              </w:rPr>
              <w:t xml:space="preserve"> </w:t>
            </w:r>
            <w:r w:rsidR="0042283F">
              <w:rPr>
                <w:rFonts w:ascii="DIN-Bold" w:hAnsi="DIN-Bold"/>
                <w:sz w:val="18"/>
                <w:szCs w:val="18"/>
                <w:lang w:val="de-DE"/>
              </w:rPr>
              <w:t>B</w:t>
            </w:r>
            <w:r w:rsidRPr="00333501">
              <w:rPr>
                <w:rFonts w:ascii="DIN-Bold" w:hAnsi="DIN-Bold"/>
                <w:sz w:val="18"/>
                <w:szCs w:val="18"/>
                <w:lang w:val="de-DE"/>
              </w:rPr>
              <w:t>usiness</w:t>
            </w:r>
            <w:r w:rsidR="0042283F">
              <w:rPr>
                <w:rFonts w:ascii="DIN-Bold" w:hAnsi="DIN-Bold"/>
                <w:sz w:val="18"/>
                <w:szCs w:val="18"/>
                <w:lang w:val="de-DE"/>
              </w:rPr>
              <w:t>-Modelle</w:t>
            </w:r>
            <w:r w:rsidRPr="00333501">
              <w:rPr>
                <w:rFonts w:ascii="DIN-Bold" w:hAnsi="DIN-Bold"/>
                <w:sz w:val="18"/>
                <w:szCs w:val="18"/>
                <w:lang w:val="de-DE"/>
              </w:rPr>
              <w:t>/</w:t>
            </w:r>
            <w:r w:rsidR="0042283F">
              <w:rPr>
                <w:rFonts w:ascii="DIN-Bold" w:hAnsi="DIN-Bold"/>
                <w:sz w:val="18"/>
                <w:szCs w:val="18"/>
                <w:lang w:val="de-DE"/>
              </w:rPr>
              <w:t>-Produkte</w:t>
            </w:r>
          </w:p>
        </w:tc>
        <w:tc>
          <w:tcPr>
            <w:tcW w:w="1276" w:type="dxa"/>
          </w:tcPr>
          <w:p w14:paraId="1CD6D4FF" w14:textId="77777777"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5 businesses</w:t>
            </w:r>
          </w:p>
        </w:tc>
        <w:tc>
          <w:tcPr>
            <w:tcW w:w="1418" w:type="dxa"/>
          </w:tcPr>
          <w:p w14:paraId="78B5F7C6" w14:textId="77777777" w:rsidR="0074558C" w:rsidRPr="00333501" w:rsidRDefault="0074558C" w:rsidP="0043594F">
            <w:pPr>
              <w:autoSpaceDE w:val="0"/>
              <w:autoSpaceDN w:val="0"/>
              <w:adjustRightInd w:val="0"/>
              <w:rPr>
                <w:rFonts w:ascii="DIN-Bold" w:hAnsi="DIN-Bold"/>
                <w:sz w:val="18"/>
                <w:szCs w:val="18"/>
                <w:lang w:val="de-DE"/>
              </w:rPr>
            </w:pPr>
            <w:r w:rsidRPr="00333501">
              <w:rPr>
                <w:rFonts w:ascii="DIN-Bold" w:hAnsi="DIN-Bold"/>
                <w:sz w:val="18"/>
                <w:szCs w:val="18"/>
                <w:lang w:val="de-DE"/>
              </w:rPr>
              <w:t>13 businesses</w:t>
            </w:r>
          </w:p>
        </w:tc>
      </w:tr>
    </w:tbl>
    <w:p w14:paraId="3796469D" w14:textId="77777777" w:rsidR="0074558C" w:rsidRPr="0074558C" w:rsidRDefault="0074558C" w:rsidP="0074558C">
      <w:pPr>
        <w:autoSpaceDE w:val="0"/>
        <w:autoSpaceDN w:val="0"/>
        <w:adjustRightInd w:val="0"/>
        <w:rPr>
          <w:rFonts w:ascii="DIN Condensed" w:hAnsi="DIN Condensed" w:cstheme="majorHAnsi"/>
          <w:sz w:val="16"/>
          <w:szCs w:val="16"/>
          <w:vertAlign w:val="superscript"/>
          <w:lang w:val="en-US"/>
        </w:rPr>
      </w:pPr>
    </w:p>
    <w:p w14:paraId="1B1FD446" w14:textId="7A68EBA8" w:rsidR="0074558C" w:rsidRPr="0074558C" w:rsidRDefault="0074558C" w:rsidP="0074558C">
      <w:pPr>
        <w:autoSpaceDE w:val="0"/>
        <w:autoSpaceDN w:val="0"/>
        <w:adjustRightInd w:val="0"/>
        <w:rPr>
          <w:rFonts w:ascii="DIN-Bold" w:hAnsi="DIN-Bold"/>
          <w:sz w:val="16"/>
          <w:szCs w:val="16"/>
          <w:lang w:val="de-DE"/>
        </w:rPr>
      </w:pPr>
      <w:r w:rsidRPr="0074558C">
        <w:rPr>
          <w:rFonts w:ascii="DIN-Bold" w:hAnsi="DIN-Bold"/>
          <w:sz w:val="16"/>
          <w:szCs w:val="16"/>
          <w:vertAlign w:val="superscript"/>
          <w:lang w:val="de-DE"/>
        </w:rPr>
        <w:t>1</w:t>
      </w:r>
      <w:r w:rsidRPr="0074558C">
        <w:rPr>
          <w:rFonts w:ascii="DIN-Bold" w:hAnsi="DIN-Bold"/>
          <w:sz w:val="16"/>
          <w:szCs w:val="16"/>
          <w:lang w:val="de-DE"/>
        </w:rPr>
        <w:t xml:space="preserve"> </w:t>
      </w:r>
      <w:r w:rsidR="00B35E61" w:rsidRPr="00B35E61">
        <w:rPr>
          <w:rFonts w:ascii="DIN-Bold" w:hAnsi="DIN-Bold"/>
          <w:sz w:val="16"/>
          <w:szCs w:val="16"/>
          <w:lang w:val="de-DE"/>
        </w:rPr>
        <w:t>Energiebedingte CO</w:t>
      </w:r>
      <w:r w:rsidR="00B35E61" w:rsidRPr="00587346">
        <w:rPr>
          <w:rFonts w:ascii="DIN-Bold" w:hAnsi="DIN-Bold"/>
          <w:sz w:val="16"/>
          <w:szCs w:val="16"/>
          <w:vertAlign w:val="subscript"/>
          <w:lang w:val="de-DE"/>
        </w:rPr>
        <w:t>2</w:t>
      </w:r>
      <w:r w:rsidR="00B35E61" w:rsidRPr="00B35E61">
        <w:rPr>
          <w:rFonts w:ascii="DIN-Bold" w:hAnsi="DIN-Bold"/>
          <w:sz w:val="16"/>
          <w:szCs w:val="16"/>
          <w:lang w:val="de-DE"/>
        </w:rPr>
        <w:t>-Emissionen 2019: 33,6 Milliarden Tonnen (Quelle: IEA)</w:t>
      </w:r>
    </w:p>
    <w:p w14:paraId="2F1F2FBD" w14:textId="53365840" w:rsidR="0074558C" w:rsidRPr="0074558C" w:rsidRDefault="0074558C" w:rsidP="0074558C">
      <w:pPr>
        <w:autoSpaceDE w:val="0"/>
        <w:autoSpaceDN w:val="0"/>
        <w:adjustRightInd w:val="0"/>
        <w:rPr>
          <w:rFonts w:ascii="DIN-Bold" w:hAnsi="DIN-Bold"/>
          <w:sz w:val="16"/>
          <w:szCs w:val="16"/>
          <w:lang w:val="de-DE"/>
        </w:rPr>
      </w:pPr>
      <w:r w:rsidRPr="0074558C">
        <w:rPr>
          <w:rFonts w:ascii="DIN-Bold" w:hAnsi="DIN-Bold"/>
          <w:sz w:val="16"/>
          <w:szCs w:val="16"/>
          <w:vertAlign w:val="superscript"/>
          <w:lang w:val="de-DE"/>
        </w:rPr>
        <w:t>2</w:t>
      </w:r>
      <w:r w:rsidRPr="0074558C">
        <w:rPr>
          <w:rFonts w:ascii="DIN-Bold" w:hAnsi="DIN-Bold"/>
          <w:sz w:val="16"/>
          <w:szCs w:val="16"/>
          <w:lang w:val="de-DE"/>
        </w:rPr>
        <w:t xml:space="preserve"> </w:t>
      </w:r>
      <w:r w:rsidR="00BB00E4" w:rsidRPr="00BB00E4">
        <w:rPr>
          <w:rFonts w:ascii="DIN-Bold" w:hAnsi="DIN-Bold"/>
          <w:sz w:val="16"/>
          <w:szCs w:val="16"/>
          <w:lang w:val="de-DE"/>
        </w:rPr>
        <w:t>Der CO</w:t>
      </w:r>
      <w:r w:rsidR="00BB00E4" w:rsidRPr="00587346">
        <w:rPr>
          <w:rFonts w:ascii="DIN-Bold" w:hAnsi="DIN-Bold"/>
          <w:sz w:val="16"/>
          <w:szCs w:val="16"/>
          <w:vertAlign w:val="subscript"/>
          <w:lang w:val="de-DE"/>
        </w:rPr>
        <w:t>2</w:t>
      </w:r>
      <w:r w:rsidR="00BB00E4" w:rsidRPr="00BB00E4">
        <w:rPr>
          <w:rFonts w:ascii="DIN-Bold" w:hAnsi="DIN-Bold"/>
          <w:sz w:val="16"/>
          <w:szCs w:val="16"/>
          <w:lang w:val="de-DE"/>
        </w:rPr>
        <w:t>-Emission</w:t>
      </w:r>
      <w:r w:rsidR="00BB00E4">
        <w:rPr>
          <w:rFonts w:ascii="DIN-Bold" w:hAnsi="DIN-Bold"/>
          <w:sz w:val="16"/>
          <w:szCs w:val="16"/>
          <w:lang w:val="de-DE"/>
        </w:rPr>
        <w:t>en</w:t>
      </w:r>
      <w:r w:rsidR="00BB00E4" w:rsidRPr="00BB00E4">
        <w:rPr>
          <w:rFonts w:ascii="DIN-Bold" w:hAnsi="DIN-Bold"/>
          <w:sz w:val="16"/>
          <w:szCs w:val="16"/>
          <w:lang w:val="de-DE"/>
        </w:rPr>
        <w:t>faktor basiert auf 2020</w:t>
      </w:r>
    </w:p>
    <w:p w14:paraId="5A7722E0" w14:textId="354473FB" w:rsidR="0074558C" w:rsidRPr="0074558C" w:rsidRDefault="0074558C" w:rsidP="0074558C">
      <w:pPr>
        <w:autoSpaceDE w:val="0"/>
        <w:autoSpaceDN w:val="0"/>
        <w:adjustRightInd w:val="0"/>
        <w:rPr>
          <w:rFonts w:ascii="DIN-Bold" w:hAnsi="DIN-Bold"/>
          <w:sz w:val="16"/>
          <w:szCs w:val="16"/>
          <w:lang w:val="de-DE"/>
        </w:rPr>
      </w:pPr>
      <w:r w:rsidRPr="0074558C">
        <w:rPr>
          <w:rFonts w:ascii="DIN-Bold" w:hAnsi="DIN-Bold"/>
          <w:sz w:val="16"/>
          <w:szCs w:val="16"/>
          <w:vertAlign w:val="superscript"/>
          <w:lang w:val="de-DE"/>
        </w:rPr>
        <w:t>3</w:t>
      </w:r>
      <w:r w:rsidRPr="0074558C">
        <w:rPr>
          <w:rFonts w:ascii="DIN-Bold" w:hAnsi="DIN-Bold"/>
          <w:sz w:val="16"/>
          <w:szCs w:val="16"/>
          <w:lang w:val="de-DE"/>
        </w:rPr>
        <w:t xml:space="preserve"> </w:t>
      </w:r>
      <w:r w:rsidR="00BB00E4" w:rsidRPr="00BB00E4">
        <w:rPr>
          <w:rFonts w:ascii="DIN-Bold" w:hAnsi="DIN-Bold"/>
          <w:sz w:val="16"/>
          <w:szCs w:val="16"/>
          <w:lang w:val="de-DE"/>
        </w:rPr>
        <w:t>Klassifizierung auf der Grundlage des GHG (Green House Gas) Protokolls, dem internationalen Berechnungsstandard</w:t>
      </w:r>
    </w:p>
    <w:p w14:paraId="2781D493" w14:textId="1B19257C" w:rsidR="0074558C" w:rsidRPr="0074558C" w:rsidRDefault="0074558C" w:rsidP="0074558C">
      <w:pPr>
        <w:autoSpaceDE w:val="0"/>
        <w:autoSpaceDN w:val="0"/>
        <w:adjustRightInd w:val="0"/>
        <w:rPr>
          <w:rFonts w:ascii="DIN-Bold" w:hAnsi="DIN-Bold"/>
          <w:sz w:val="16"/>
          <w:szCs w:val="16"/>
          <w:lang w:val="de-DE"/>
        </w:rPr>
      </w:pPr>
      <w:r w:rsidRPr="0074558C">
        <w:rPr>
          <w:rFonts w:ascii="DIN-Bold" w:hAnsi="DIN-Bold"/>
          <w:sz w:val="16"/>
          <w:szCs w:val="16"/>
          <w:vertAlign w:val="superscript"/>
          <w:lang w:val="de-DE"/>
        </w:rPr>
        <w:t>4</w:t>
      </w:r>
      <w:r w:rsidRPr="0074558C">
        <w:rPr>
          <w:rFonts w:ascii="DIN-Bold" w:hAnsi="DIN-Bold"/>
          <w:sz w:val="16"/>
          <w:szCs w:val="16"/>
          <w:lang w:val="de-DE"/>
        </w:rPr>
        <w:t xml:space="preserve"> </w:t>
      </w:r>
      <w:r w:rsidR="00BB00E4" w:rsidRPr="00BB00E4">
        <w:rPr>
          <w:rFonts w:ascii="DIN-Bold" w:hAnsi="DIN-Bold"/>
          <w:sz w:val="16"/>
          <w:szCs w:val="16"/>
          <w:lang w:val="de-DE"/>
        </w:rPr>
        <w:t>Die Größe der oben angegebenen CO</w:t>
      </w:r>
      <w:r w:rsidR="00BB00E4" w:rsidRPr="00587346">
        <w:rPr>
          <w:rFonts w:ascii="DIN-Bold" w:hAnsi="DIN-Bold"/>
          <w:sz w:val="16"/>
          <w:szCs w:val="16"/>
          <w:vertAlign w:val="subscript"/>
          <w:lang w:val="de-DE"/>
        </w:rPr>
        <w:t>2</w:t>
      </w:r>
      <w:r w:rsidR="00BB00E4" w:rsidRPr="00BB00E4">
        <w:rPr>
          <w:rFonts w:ascii="DIN-Bold" w:hAnsi="DIN-Bold"/>
          <w:sz w:val="16"/>
          <w:szCs w:val="16"/>
          <w:lang w:val="de-DE"/>
        </w:rPr>
        <w:t xml:space="preserve">-Reduktionsziele ist die Differenz zu den Zielen im </w:t>
      </w:r>
      <w:r w:rsidR="00BB00E4">
        <w:rPr>
          <w:rFonts w:ascii="DIN-Bold" w:hAnsi="DIN-Bold"/>
          <w:sz w:val="16"/>
          <w:szCs w:val="16"/>
          <w:lang w:val="de-DE"/>
        </w:rPr>
        <w:t>FY</w:t>
      </w:r>
      <w:r w:rsidR="00BB00E4" w:rsidRPr="00BB00E4">
        <w:rPr>
          <w:rFonts w:ascii="DIN-Bold" w:hAnsi="DIN-Bold"/>
          <w:sz w:val="16"/>
          <w:szCs w:val="16"/>
          <w:lang w:val="de-DE"/>
        </w:rPr>
        <w:t>2021</w:t>
      </w:r>
    </w:p>
    <w:p w14:paraId="3AC4E624" w14:textId="13E6D321" w:rsidR="0074558C" w:rsidRPr="0074558C" w:rsidRDefault="0074558C" w:rsidP="0074558C">
      <w:pPr>
        <w:autoSpaceDE w:val="0"/>
        <w:autoSpaceDN w:val="0"/>
        <w:adjustRightInd w:val="0"/>
        <w:rPr>
          <w:rFonts w:ascii="DIN-Bold" w:hAnsi="DIN-Bold"/>
          <w:sz w:val="16"/>
          <w:szCs w:val="16"/>
          <w:lang w:val="de-DE"/>
        </w:rPr>
      </w:pPr>
      <w:r w:rsidRPr="0074558C">
        <w:rPr>
          <w:rFonts w:ascii="DIN-Bold" w:hAnsi="DIN-Bold"/>
          <w:sz w:val="16"/>
          <w:szCs w:val="16"/>
          <w:vertAlign w:val="superscript"/>
          <w:lang w:val="de-DE"/>
        </w:rPr>
        <w:t>5</w:t>
      </w:r>
      <w:r>
        <w:rPr>
          <w:rFonts w:ascii="DIN-Bold" w:hAnsi="DIN-Bold"/>
          <w:sz w:val="16"/>
          <w:szCs w:val="16"/>
          <w:lang w:val="de-DE"/>
        </w:rPr>
        <w:t xml:space="preserve"> C</w:t>
      </w:r>
      <w:r w:rsidRPr="0074558C">
        <w:rPr>
          <w:rFonts w:ascii="DIN-Bold" w:hAnsi="DIN-Bold"/>
          <w:sz w:val="16"/>
          <w:szCs w:val="16"/>
          <w:lang w:val="de-DE"/>
        </w:rPr>
        <w:t xml:space="preserve">E: </w:t>
      </w:r>
      <w:proofErr w:type="spellStart"/>
      <w:r w:rsidRPr="0074558C">
        <w:rPr>
          <w:rFonts w:ascii="DIN-Bold" w:hAnsi="DIN-Bold"/>
          <w:sz w:val="16"/>
          <w:szCs w:val="16"/>
          <w:lang w:val="de-DE"/>
        </w:rPr>
        <w:t>Circular</w:t>
      </w:r>
      <w:proofErr w:type="spellEnd"/>
      <w:r w:rsidRPr="0074558C">
        <w:rPr>
          <w:rFonts w:ascii="DIN-Bold" w:hAnsi="DIN-Bold"/>
          <w:sz w:val="16"/>
          <w:szCs w:val="16"/>
          <w:lang w:val="de-DE"/>
        </w:rPr>
        <w:t xml:space="preserve"> Economy</w:t>
      </w:r>
      <w:r w:rsidR="00BB00E4">
        <w:rPr>
          <w:rFonts w:ascii="DIN-Bold" w:hAnsi="DIN-Bold"/>
          <w:sz w:val="16"/>
          <w:szCs w:val="16"/>
          <w:lang w:val="de-DE"/>
        </w:rPr>
        <w:t xml:space="preserve"> = Kreislaufwirtschaft</w:t>
      </w:r>
    </w:p>
    <w:p w14:paraId="2EBDCBA5" w14:textId="1D19E4FC" w:rsidR="0074558C" w:rsidRPr="0074558C" w:rsidRDefault="0074558C" w:rsidP="0074558C">
      <w:pPr>
        <w:autoSpaceDE w:val="0"/>
        <w:autoSpaceDN w:val="0"/>
        <w:adjustRightInd w:val="0"/>
        <w:rPr>
          <w:rFonts w:ascii="DIN-Bold" w:hAnsi="DIN-Bold"/>
          <w:sz w:val="16"/>
          <w:szCs w:val="16"/>
          <w:lang w:val="de-DE"/>
        </w:rPr>
      </w:pPr>
      <w:r w:rsidRPr="0074558C">
        <w:rPr>
          <w:rFonts w:ascii="DIN-Bold" w:hAnsi="DIN-Bold"/>
          <w:sz w:val="16"/>
          <w:szCs w:val="16"/>
          <w:vertAlign w:val="superscript"/>
          <w:lang w:val="de-DE"/>
        </w:rPr>
        <w:t>6</w:t>
      </w:r>
      <w:r w:rsidRPr="0074558C">
        <w:rPr>
          <w:rFonts w:ascii="DIN-Bold" w:hAnsi="DIN-Bold"/>
          <w:sz w:val="16"/>
          <w:szCs w:val="16"/>
          <w:lang w:val="de-DE"/>
        </w:rPr>
        <w:t xml:space="preserve"> </w:t>
      </w:r>
      <w:r w:rsidR="00BB00E4">
        <w:rPr>
          <w:rFonts w:ascii="DIN-Bold" w:hAnsi="DIN-Bold"/>
          <w:sz w:val="16"/>
          <w:szCs w:val="16"/>
          <w:lang w:val="de-DE"/>
        </w:rPr>
        <w:t>„</w:t>
      </w:r>
      <w:r w:rsidR="00BB00E4" w:rsidRPr="00BB00E4">
        <w:rPr>
          <w:rFonts w:ascii="DIN-Bold" w:hAnsi="DIN-Bold"/>
          <w:sz w:val="16"/>
          <w:szCs w:val="16"/>
          <w:lang w:val="de-DE"/>
        </w:rPr>
        <w:t>3-Jahres-Summe</w:t>
      </w:r>
      <w:r w:rsidR="00BB00E4">
        <w:rPr>
          <w:rFonts w:ascii="DIN-Bold" w:hAnsi="DIN-Bold"/>
          <w:sz w:val="16"/>
          <w:szCs w:val="16"/>
          <w:lang w:val="de-DE"/>
        </w:rPr>
        <w:t>“</w:t>
      </w:r>
      <w:r w:rsidR="00BB00E4" w:rsidRPr="00BB00E4">
        <w:rPr>
          <w:rFonts w:ascii="DIN-Bold" w:hAnsi="DIN-Bold"/>
          <w:sz w:val="16"/>
          <w:szCs w:val="16"/>
          <w:lang w:val="de-DE"/>
        </w:rPr>
        <w:t>: FY2020-FY2022 kumulierte Ergebnisse / FY2023-FY2025 kumulierte Ziele</w:t>
      </w:r>
    </w:p>
    <w:p w14:paraId="752DB0D2" w14:textId="2EBFB853" w:rsidR="00315E72" w:rsidRDefault="00315E72" w:rsidP="00D737CA">
      <w:pPr>
        <w:autoSpaceDE w:val="0"/>
        <w:autoSpaceDN w:val="0"/>
        <w:adjustRightInd w:val="0"/>
        <w:rPr>
          <w:rFonts w:ascii="DIN-Regular" w:hAnsi="DIN-Regular"/>
          <w:sz w:val="20"/>
          <w:lang w:val="de-DE"/>
        </w:rPr>
      </w:pPr>
    </w:p>
    <w:p w14:paraId="0C0F1D6D" w14:textId="77777777" w:rsidR="00587346" w:rsidRPr="0074558C" w:rsidRDefault="00587346" w:rsidP="00D737CA">
      <w:pPr>
        <w:autoSpaceDE w:val="0"/>
        <w:autoSpaceDN w:val="0"/>
        <w:adjustRightInd w:val="0"/>
        <w:rPr>
          <w:rFonts w:ascii="DIN-Regular" w:hAnsi="DIN-Regular"/>
          <w:sz w:val="20"/>
          <w:lang w:val="de-DE"/>
        </w:rPr>
      </w:pPr>
    </w:p>
    <w:p w14:paraId="23CA46D4" w14:textId="6E6C002C" w:rsidR="00916F0D" w:rsidRPr="0074558C" w:rsidRDefault="00333501" w:rsidP="00D737CA">
      <w:pPr>
        <w:autoSpaceDE w:val="0"/>
        <w:autoSpaceDN w:val="0"/>
        <w:adjustRightInd w:val="0"/>
        <w:rPr>
          <w:rFonts w:ascii="DIN-Regular" w:hAnsi="DIN-Regular"/>
          <w:sz w:val="20"/>
          <w:lang w:val="de-DE"/>
        </w:rPr>
      </w:pPr>
      <w:r w:rsidRPr="00333501">
        <w:rPr>
          <w:rFonts w:ascii="DIN-Regular" w:hAnsi="DIN-Regular"/>
          <w:sz w:val="20"/>
          <w:lang w:val="de-DE"/>
        </w:rPr>
        <w:t>Für weitere Informationen über Panasonic auf der IFA 2022 besuchen Sie bitte</w:t>
      </w:r>
      <w:r w:rsidR="00231A4B" w:rsidRPr="0074558C">
        <w:rPr>
          <w:rFonts w:ascii="DIN-Regular" w:hAnsi="DIN-Regular"/>
          <w:sz w:val="20"/>
          <w:lang w:val="de-DE"/>
        </w:rPr>
        <w:t xml:space="preserve"> </w:t>
      </w:r>
      <w:hyperlink r:id="rId17" w:history="1">
        <w:r w:rsidR="00231A4B" w:rsidRPr="0074558C">
          <w:rPr>
            <w:rStyle w:val="Hyperlink"/>
            <w:rFonts w:ascii="DIN-Regular" w:hAnsi="DIN-Regular"/>
            <w:sz w:val="20"/>
            <w:lang w:val="de-DE"/>
          </w:rPr>
          <w:t>www.panasonic.com/IFA2022</w:t>
        </w:r>
      </w:hyperlink>
      <w:r w:rsidR="00231A4B" w:rsidRPr="0074558C">
        <w:rPr>
          <w:rFonts w:ascii="DIN-Regular" w:hAnsi="DIN-Regular"/>
          <w:sz w:val="20"/>
          <w:lang w:val="de-DE"/>
        </w:rPr>
        <w:t xml:space="preserve"> </w:t>
      </w:r>
      <w:r w:rsidR="00916F0D" w:rsidRPr="0074558C">
        <w:rPr>
          <w:rFonts w:ascii="DIN-Regular" w:hAnsi="DIN-Regular"/>
          <w:sz w:val="20"/>
          <w:lang w:val="de-DE"/>
        </w:rPr>
        <w:t xml:space="preserve"> </w:t>
      </w:r>
    </w:p>
    <w:p w14:paraId="02EEF505" w14:textId="3AE886D6" w:rsidR="001370F9" w:rsidRDefault="001370F9" w:rsidP="00B44238">
      <w:pPr>
        <w:autoSpaceDE w:val="0"/>
        <w:autoSpaceDN w:val="0"/>
        <w:adjustRightInd w:val="0"/>
        <w:rPr>
          <w:rFonts w:ascii="DIN-Regular" w:hAnsi="DIN-Regular"/>
          <w:sz w:val="18"/>
          <w:szCs w:val="18"/>
          <w:lang w:val="de-DE"/>
        </w:rPr>
      </w:pPr>
    </w:p>
    <w:p w14:paraId="058987FA" w14:textId="77777777" w:rsidR="00587346" w:rsidRPr="0074558C" w:rsidRDefault="00587346" w:rsidP="00B44238">
      <w:pPr>
        <w:autoSpaceDE w:val="0"/>
        <w:autoSpaceDN w:val="0"/>
        <w:adjustRightInd w:val="0"/>
        <w:rPr>
          <w:rFonts w:ascii="DIN-Regular" w:hAnsi="DIN-Regular"/>
          <w:sz w:val="18"/>
          <w:szCs w:val="18"/>
          <w:lang w:val="de-DE"/>
        </w:rPr>
      </w:pPr>
    </w:p>
    <w:p w14:paraId="745CC52A" w14:textId="77777777" w:rsidR="004C4DF9" w:rsidRPr="00784867" w:rsidRDefault="004C4DF9" w:rsidP="004C4DF9">
      <w:pPr>
        <w:ind w:right="13"/>
        <w:rPr>
          <w:rFonts w:ascii="DIN-Bold" w:hAnsi="DIN-Bold" w:cs="Arial"/>
          <w:b/>
          <w:color w:val="000000"/>
          <w:sz w:val="20"/>
          <w:lang w:val="de-DE"/>
        </w:rPr>
      </w:pPr>
      <w:r w:rsidRPr="00784867">
        <w:rPr>
          <w:rFonts w:ascii="DIN-Bold" w:hAnsi="DIN-Bold" w:cs="Arial"/>
          <w:b/>
          <w:color w:val="000000"/>
          <w:sz w:val="20"/>
          <w:lang w:val="de-DE"/>
        </w:rPr>
        <w:t>Über Panasonic:</w:t>
      </w:r>
    </w:p>
    <w:p w14:paraId="2604D68B" w14:textId="77777777" w:rsidR="004C4DF9" w:rsidRPr="009D1888" w:rsidRDefault="004C4DF9" w:rsidP="004C4DF9">
      <w:pPr>
        <w:ind w:right="13"/>
        <w:rPr>
          <w:rFonts w:ascii="DIN-Regular" w:hAnsi="DIN-Regular"/>
          <w:color w:val="000000"/>
          <w:sz w:val="20"/>
          <w:lang w:val="de-DE" w:eastAsia="de-DE"/>
        </w:rPr>
      </w:pPr>
      <w:r w:rsidRPr="009D1888">
        <w:rPr>
          <w:rFonts w:ascii="DIN-Regular" w:hAnsi="DIN-Regular"/>
          <w:color w:val="000000"/>
          <w:sz w:val="20"/>
          <w:lang w:val="de-DE" w:eastAsia="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2756D668" w14:textId="22A756C2" w:rsidR="00EC5B72" w:rsidRPr="0074558C" w:rsidRDefault="004C4DF9" w:rsidP="004C4DF9">
      <w:pPr>
        <w:ind w:right="13"/>
        <w:rPr>
          <w:rFonts w:ascii="DIN-Regular" w:hAnsi="DIN-Regular" w:cs="Arial"/>
          <w:color w:val="000000"/>
          <w:sz w:val="20"/>
          <w:lang w:val="de-DE"/>
        </w:rPr>
      </w:pPr>
      <w:r w:rsidRPr="009D1888">
        <w:rPr>
          <w:rFonts w:ascii="DIN-Regular" w:hAnsi="DIN-Regular"/>
          <w:color w:val="000000"/>
          <w:sz w:val="20"/>
          <w:lang w:val="de-DE" w:eastAsia="de-DE"/>
        </w:rPr>
        <w:lastRenderedPageBreak/>
        <w:t xml:space="preserve">Um mehr über die Panasonic Gruppe zu erfahren, besuchen Sie bitte: </w:t>
      </w:r>
      <w:hyperlink r:id="rId18" w:history="1">
        <w:r w:rsidR="006D1262" w:rsidRPr="0074558C">
          <w:rPr>
            <w:rStyle w:val="Hyperlink"/>
            <w:rFonts w:ascii="DIN-Regular" w:hAnsi="DIN-Regular"/>
            <w:sz w:val="20"/>
            <w:lang w:val="de-DE" w:eastAsia="de-DE"/>
          </w:rPr>
          <w:t>https://holdings.panasonic/global/</w:t>
        </w:r>
      </w:hyperlink>
      <w:r w:rsidR="006D1262" w:rsidRPr="0074558C">
        <w:rPr>
          <w:rFonts w:ascii="DIN-Regular" w:hAnsi="DIN-Regular"/>
          <w:color w:val="000000"/>
          <w:sz w:val="20"/>
          <w:lang w:val="de-DE" w:eastAsia="de-DE"/>
        </w:rPr>
        <w:t xml:space="preserve"> </w:t>
      </w:r>
      <w:r w:rsidR="009D1888" w:rsidRPr="0074558C">
        <w:rPr>
          <w:rFonts w:ascii="DIN-Regular" w:hAnsi="DIN-Regular"/>
          <w:color w:val="000000"/>
          <w:sz w:val="20"/>
          <w:lang w:val="de-DE" w:eastAsia="de-DE"/>
        </w:rPr>
        <w:br/>
      </w:r>
    </w:p>
    <w:p w14:paraId="58871541" w14:textId="77777777" w:rsidR="004C4DF9" w:rsidRPr="00784867" w:rsidRDefault="004C4DF9" w:rsidP="004C4DF9">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5147506E" w14:textId="77777777" w:rsidR="004C4DF9" w:rsidRPr="00784867" w:rsidRDefault="004C4DF9" w:rsidP="004C4DF9">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Panasonic Deutschland</w:t>
      </w:r>
    </w:p>
    <w:p w14:paraId="37E5626E" w14:textId="77777777" w:rsidR="004C4DF9" w:rsidRPr="00784867" w:rsidRDefault="004C4DF9" w:rsidP="004C4DF9">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5FDE0F6" w14:textId="77777777" w:rsidR="004C4DF9" w:rsidRPr="00784867" w:rsidRDefault="004C4DF9" w:rsidP="004C4DF9">
      <w:pPr>
        <w:pStyle w:val="Copy"/>
        <w:keepNext/>
        <w:keepLines/>
        <w:spacing w:line="240" w:lineRule="auto"/>
        <w:ind w:right="13"/>
        <w:rPr>
          <w:rFonts w:ascii="DIN-Regular" w:eastAsia="Times New Roman" w:hAnsi="DIN-Regular"/>
          <w:lang w:eastAsia="en-US"/>
        </w:rPr>
      </w:pPr>
      <w:proofErr w:type="spellStart"/>
      <w:r w:rsidRPr="00784867">
        <w:rPr>
          <w:rFonts w:ascii="DIN-Regular" w:eastAsia="Times New Roman" w:hAnsi="DIN-Regular"/>
          <w:lang w:eastAsia="en-US"/>
        </w:rPr>
        <w:t>Winsbergring</w:t>
      </w:r>
      <w:proofErr w:type="spellEnd"/>
      <w:r w:rsidRPr="00784867">
        <w:rPr>
          <w:rFonts w:ascii="DIN-Regular" w:eastAsia="Times New Roman" w:hAnsi="DIN-Regular"/>
          <w:lang w:eastAsia="en-US"/>
        </w:rPr>
        <w:t xml:space="preserve"> 15</w:t>
      </w:r>
    </w:p>
    <w:p w14:paraId="27AC36C1" w14:textId="77777777" w:rsidR="004C4DF9" w:rsidRPr="00784867" w:rsidRDefault="004C4DF9" w:rsidP="004C4DF9">
      <w:pPr>
        <w:pStyle w:val="Copy"/>
        <w:spacing w:line="240" w:lineRule="auto"/>
        <w:ind w:right="13"/>
        <w:rPr>
          <w:rFonts w:ascii="DIN-Regular" w:eastAsia="Times New Roman" w:hAnsi="DIN-Regular"/>
          <w:lang w:eastAsia="en-US"/>
        </w:rPr>
      </w:pPr>
      <w:r w:rsidRPr="00784867">
        <w:rPr>
          <w:rFonts w:ascii="DIN-Regular" w:eastAsia="Times New Roman" w:hAnsi="DIN-Regular"/>
          <w:lang w:eastAsia="en-US"/>
        </w:rPr>
        <w:t>22525 Hamburg</w:t>
      </w:r>
    </w:p>
    <w:p w14:paraId="14BD477C" w14:textId="77777777" w:rsidR="004C4DF9" w:rsidRPr="00784867" w:rsidRDefault="004C4DF9" w:rsidP="004C4DF9">
      <w:pPr>
        <w:pStyle w:val="Textkrper3"/>
        <w:spacing w:line="240" w:lineRule="auto"/>
        <w:ind w:right="13"/>
        <w:rPr>
          <w:rFonts w:ascii="DIN-Regular" w:hAnsi="DIN-Regular"/>
          <w:b w:val="0"/>
          <w:bCs/>
          <w:iCs/>
          <w:lang w:val="de-DE"/>
        </w:rPr>
      </w:pPr>
    </w:p>
    <w:p w14:paraId="3C6C0A75" w14:textId="77777777" w:rsidR="004C4DF9" w:rsidRPr="00784867" w:rsidRDefault="004C4DF9" w:rsidP="004C4DF9">
      <w:pPr>
        <w:pStyle w:val="StandardWeb"/>
        <w:spacing w:before="0" w:beforeAutospacing="0" w:after="0" w:afterAutospacing="0"/>
        <w:ind w:right="13"/>
        <w:rPr>
          <w:rFonts w:ascii="DIN-Regular" w:hAnsi="DIN-Regular"/>
          <w:sz w:val="20"/>
          <w:szCs w:val="20"/>
        </w:rPr>
      </w:pPr>
      <w:r w:rsidRPr="00784867">
        <w:rPr>
          <w:rStyle w:val="Fett"/>
          <w:rFonts w:ascii="DIN-Bold" w:hAnsi="DIN-Bold"/>
          <w:sz w:val="20"/>
          <w:szCs w:val="20"/>
        </w:rPr>
        <w:t>Ansprechpartner für Presseanfragen:</w:t>
      </w:r>
      <w:r w:rsidRPr="00784867">
        <w:rPr>
          <w:rFonts w:ascii="DIN-Regular" w:hAnsi="DIN-Regular"/>
          <w:sz w:val="20"/>
          <w:szCs w:val="20"/>
        </w:rPr>
        <w:br/>
        <w:t>Michael Langbehn</w:t>
      </w:r>
      <w:r w:rsidRPr="00784867">
        <w:rPr>
          <w:rFonts w:ascii="DIN-Regular" w:hAnsi="DIN-Regular"/>
          <w:sz w:val="20"/>
          <w:szCs w:val="20"/>
        </w:rPr>
        <w:br/>
        <w:t xml:space="preserve">Tel.: 040 / 8549-0 </w:t>
      </w:r>
      <w:r w:rsidRPr="00784867">
        <w:rPr>
          <w:rFonts w:ascii="DIN-Regular" w:hAnsi="DIN-Regular"/>
          <w:sz w:val="20"/>
          <w:szCs w:val="20"/>
        </w:rPr>
        <w:br/>
        <w:t xml:space="preserve">E-Mail: </w:t>
      </w:r>
      <w:hyperlink r:id="rId19" w:history="1">
        <w:r w:rsidRPr="00784867">
          <w:rPr>
            <w:rStyle w:val="Hyperlink"/>
            <w:rFonts w:ascii="DIN-Regular" w:hAnsi="DIN-Regular"/>
            <w:sz w:val="20"/>
            <w:szCs w:val="20"/>
          </w:rPr>
          <w:t>presse.kontakt</w:t>
        </w:r>
        <w:r w:rsidRPr="00784867">
          <w:rPr>
            <w:rStyle w:val="Hyperlink"/>
            <w:rFonts w:cs="Arial"/>
            <w:sz w:val="20"/>
            <w:szCs w:val="20"/>
          </w:rPr>
          <w:t>@</w:t>
        </w:r>
        <w:r w:rsidRPr="00784867">
          <w:rPr>
            <w:rStyle w:val="Hyperlink"/>
            <w:rFonts w:ascii="DIN-Regular" w:hAnsi="DIN-Regular"/>
            <w:sz w:val="20"/>
            <w:szCs w:val="20"/>
          </w:rPr>
          <w:t>eu.panasonic.com</w:t>
        </w:r>
      </w:hyperlink>
      <w:r w:rsidRPr="00784867">
        <w:rPr>
          <w:rFonts w:ascii="DIN-Regular" w:hAnsi="DIN-Regular"/>
          <w:sz w:val="20"/>
          <w:szCs w:val="20"/>
        </w:rPr>
        <w:t xml:space="preserve"> </w:t>
      </w:r>
    </w:p>
    <w:p w14:paraId="16244802" w14:textId="5EB81EEB" w:rsidR="00B04AAE" w:rsidRPr="0074558C" w:rsidRDefault="00B04AAE" w:rsidP="004C4DF9">
      <w:pPr>
        <w:pStyle w:val="StandardWeb"/>
        <w:spacing w:before="0" w:beforeAutospacing="0" w:after="0" w:afterAutospacing="0"/>
        <w:ind w:right="13"/>
        <w:rPr>
          <w:rFonts w:ascii="DIN-Regular" w:hAnsi="DIN-Regular"/>
          <w:sz w:val="20"/>
          <w:szCs w:val="20"/>
        </w:rPr>
      </w:pPr>
    </w:p>
    <w:sectPr w:rsidR="00B04AAE" w:rsidRPr="0074558C" w:rsidSect="00F10C84">
      <w:headerReference w:type="default" r:id="rId20"/>
      <w:footerReference w:type="default" r:id="rId21"/>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F9E7" w14:textId="77777777" w:rsidR="00764E78" w:rsidRDefault="00764E78">
      <w:r>
        <w:separator/>
      </w:r>
    </w:p>
  </w:endnote>
  <w:endnote w:type="continuationSeparator" w:id="0">
    <w:p w14:paraId="18DCA959" w14:textId="77777777" w:rsidR="00764E78" w:rsidRDefault="00764E78">
      <w:r>
        <w:continuationSeparator/>
      </w:r>
    </w:p>
  </w:endnote>
  <w:endnote w:type="continuationNotice" w:id="1">
    <w:p w14:paraId="5A86189F" w14:textId="77777777" w:rsidR="00764E78" w:rsidRDefault="00764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IN-Medium">
    <w:altName w:val="Calibri"/>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libri"/>
    <w:panose1 w:val="020B0604020202020204"/>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DIN Condensed">
    <w:panose1 w:val="00000500000000000000"/>
    <w:charset w:val="00"/>
    <w:family w:val="auto"/>
    <w:pitch w:val="variable"/>
    <w:sig w:usb0="800000AF" w:usb1="5000204A" w:usb2="00000000" w:usb3="00000000" w:csb0="00000001" w:csb1="00000000"/>
  </w:font>
  <w:font w:name="Helvetica 55 Roman">
    <w:altName w:val="Arial"/>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6B3BF8D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3BDC" w14:textId="77777777" w:rsidR="00764E78" w:rsidRDefault="00764E78">
      <w:r>
        <w:separator/>
      </w:r>
    </w:p>
  </w:footnote>
  <w:footnote w:type="continuationSeparator" w:id="0">
    <w:p w14:paraId="7B9AC2A3" w14:textId="77777777" w:rsidR="00764E78" w:rsidRDefault="00764E78">
      <w:r>
        <w:continuationSeparator/>
      </w:r>
    </w:p>
  </w:footnote>
  <w:footnote w:type="continuationNotice" w:id="1">
    <w:p w14:paraId="0F60DF7D" w14:textId="77777777" w:rsidR="00764E78" w:rsidRDefault="00764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3321395">
    <w:abstractNumId w:val="6"/>
  </w:num>
  <w:num w:numId="2" w16cid:durableId="860583550">
    <w:abstractNumId w:val="14"/>
  </w:num>
  <w:num w:numId="3" w16cid:durableId="369650830">
    <w:abstractNumId w:val="1"/>
  </w:num>
  <w:num w:numId="4" w16cid:durableId="1552764408">
    <w:abstractNumId w:val="16"/>
  </w:num>
  <w:num w:numId="5" w16cid:durableId="8989662">
    <w:abstractNumId w:val="22"/>
  </w:num>
  <w:num w:numId="6" w16cid:durableId="1972248351">
    <w:abstractNumId w:val="10"/>
  </w:num>
  <w:num w:numId="7" w16cid:durableId="1432431458">
    <w:abstractNumId w:val="7"/>
  </w:num>
  <w:num w:numId="8" w16cid:durableId="2068601185">
    <w:abstractNumId w:val="19"/>
  </w:num>
  <w:num w:numId="9" w16cid:durableId="201329099">
    <w:abstractNumId w:val="12"/>
  </w:num>
  <w:num w:numId="10" w16cid:durableId="860631968">
    <w:abstractNumId w:val="17"/>
  </w:num>
  <w:num w:numId="11" w16cid:durableId="780874753">
    <w:abstractNumId w:val="5"/>
  </w:num>
  <w:num w:numId="12" w16cid:durableId="1242569801">
    <w:abstractNumId w:val="9"/>
  </w:num>
  <w:num w:numId="13" w16cid:durableId="458692465">
    <w:abstractNumId w:val="2"/>
  </w:num>
  <w:num w:numId="14" w16cid:durableId="75637334">
    <w:abstractNumId w:val="3"/>
  </w:num>
  <w:num w:numId="15" w16cid:durableId="1214973879">
    <w:abstractNumId w:val="4"/>
  </w:num>
  <w:num w:numId="16" w16cid:durableId="1824001897">
    <w:abstractNumId w:val="20"/>
  </w:num>
  <w:num w:numId="17" w16cid:durableId="1003704854">
    <w:abstractNumId w:val="0"/>
  </w:num>
  <w:num w:numId="18" w16cid:durableId="236139633">
    <w:abstractNumId w:val="18"/>
  </w:num>
  <w:num w:numId="19" w16cid:durableId="5132021">
    <w:abstractNumId w:val="15"/>
  </w:num>
  <w:num w:numId="20" w16cid:durableId="807817766">
    <w:abstractNumId w:val="11"/>
  </w:num>
  <w:num w:numId="21" w16cid:durableId="1132679">
    <w:abstractNumId w:val="13"/>
  </w:num>
  <w:num w:numId="22" w16cid:durableId="975447690">
    <w:abstractNumId w:val="21"/>
  </w:num>
  <w:num w:numId="23" w16cid:durableId="2010206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62A1"/>
    <w:rsid w:val="000207F4"/>
    <w:rsid w:val="00020ABD"/>
    <w:rsid w:val="00021518"/>
    <w:rsid w:val="00021C9F"/>
    <w:rsid w:val="00022796"/>
    <w:rsid w:val="00023A4F"/>
    <w:rsid w:val="00023C2C"/>
    <w:rsid w:val="00023FF5"/>
    <w:rsid w:val="0002650D"/>
    <w:rsid w:val="00027A5B"/>
    <w:rsid w:val="00030245"/>
    <w:rsid w:val="00030F02"/>
    <w:rsid w:val="000315C1"/>
    <w:rsid w:val="00032601"/>
    <w:rsid w:val="00032E23"/>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33A"/>
    <w:rsid w:val="00083B0B"/>
    <w:rsid w:val="00083B9F"/>
    <w:rsid w:val="0008483A"/>
    <w:rsid w:val="00084D09"/>
    <w:rsid w:val="00085002"/>
    <w:rsid w:val="00085019"/>
    <w:rsid w:val="00085042"/>
    <w:rsid w:val="00085B12"/>
    <w:rsid w:val="00086E68"/>
    <w:rsid w:val="00086EA5"/>
    <w:rsid w:val="0008763E"/>
    <w:rsid w:val="00087A95"/>
    <w:rsid w:val="000900C2"/>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3A0"/>
    <w:rsid w:val="000A29C6"/>
    <w:rsid w:val="000A2A76"/>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3909"/>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A06"/>
    <w:rsid w:val="000D3B96"/>
    <w:rsid w:val="000D3D2C"/>
    <w:rsid w:val="000D4117"/>
    <w:rsid w:val="000D42AE"/>
    <w:rsid w:val="000D702F"/>
    <w:rsid w:val="000E0B6A"/>
    <w:rsid w:val="000E2AFA"/>
    <w:rsid w:val="000E2E01"/>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20"/>
    <w:rsid w:val="00117F23"/>
    <w:rsid w:val="00120A2B"/>
    <w:rsid w:val="00121EDD"/>
    <w:rsid w:val="0012347A"/>
    <w:rsid w:val="0012459A"/>
    <w:rsid w:val="00124E1D"/>
    <w:rsid w:val="00124E27"/>
    <w:rsid w:val="00124E88"/>
    <w:rsid w:val="0012586E"/>
    <w:rsid w:val="00125FA5"/>
    <w:rsid w:val="00127A94"/>
    <w:rsid w:val="00130564"/>
    <w:rsid w:val="001308A0"/>
    <w:rsid w:val="0013144D"/>
    <w:rsid w:val="00131A09"/>
    <w:rsid w:val="00132A21"/>
    <w:rsid w:val="001339BC"/>
    <w:rsid w:val="001349DB"/>
    <w:rsid w:val="00134DD0"/>
    <w:rsid w:val="0013669F"/>
    <w:rsid w:val="001370F9"/>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C9"/>
    <w:rsid w:val="00151EE9"/>
    <w:rsid w:val="00152639"/>
    <w:rsid w:val="0015295D"/>
    <w:rsid w:val="00152FD7"/>
    <w:rsid w:val="001532C7"/>
    <w:rsid w:val="00155660"/>
    <w:rsid w:val="00156388"/>
    <w:rsid w:val="001569BF"/>
    <w:rsid w:val="001617B0"/>
    <w:rsid w:val="00162015"/>
    <w:rsid w:val="001621B9"/>
    <w:rsid w:val="001624EA"/>
    <w:rsid w:val="001628E2"/>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725C"/>
    <w:rsid w:val="001A750E"/>
    <w:rsid w:val="001A7E39"/>
    <w:rsid w:val="001B00A2"/>
    <w:rsid w:val="001B081C"/>
    <w:rsid w:val="001B1C31"/>
    <w:rsid w:val="001B1C52"/>
    <w:rsid w:val="001B1E5A"/>
    <w:rsid w:val="001B1E9E"/>
    <w:rsid w:val="001B1FEA"/>
    <w:rsid w:val="001B3FA9"/>
    <w:rsid w:val="001B423E"/>
    <w:rsid w:val="001B4A11"/>
    <w:rsid w:val="001B52DC"/>
    <w:rsid w:val="001B5A00"/>
    <w:rsid w:val="001B5C2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D026E"/>
    <w:rsid w:val="001D096C"/>
    <w:rsid w:val="001D0C07"/>
    <w:rsid w:val="001D17CE"/>
    <w:rsid w:val="001D1960"/>
    <w:rsid w:val="001D1DA4"/>
    <w:rsid w:val="001D23ED"/>
    <w:rsid w:val="001D2A82"/>
    <w:rsid w:val="001D3EEF"/>
    <w:rsid w:val="001D450F"/>
    <w:rsid w:val="001D4B37"/>
    <w:rsid w:val="001D4D9E"/>
    <w:rsid w:val="001D6BFC"/>
    <w:rsid w:val="001D6F78"/>
    <w:rsid w:val="001D7D8E"/>
    <w:rsid w:val="001E05E8"/>
    <w:rsid w:val="001E0D39"/>
    <w:rsid w:val="001E11D1"/>
    <w:rsid w:val="001E19E1"/>
    <w:rsid w:val="001E2318"/>
    <w:rsid w:val="001E3342"/>
    <w:rsid w:val="001E3754"/>
    <w:rsid w:val="001E3798"/>
    <w:rsid w:val="001E3C57"/>
    <w:rsid w:val="001E3ED8"/>
    <w:rsid w:val="001E547C"/>
    <w:rsid w:val="001E5510"/>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C3F"/>
    <w:rsid w:val="0022015B"/>
    <w:rsid w:val="002202AE"/>
    <w:rsid w:val="002202DC"/>
    <w:rsid w:val="00220873"/>
    <w:rsid w:val="0022140D"/>
    <w:rsid w:val="00221498"/>
    <w:rsid w:val="0022283F"/>
    <w:rsid w:val="00222BF2"/>
    <w:rsid w:val="00222DA0"/>
    <w:rsid w:val="00223302"/>
    <w:rsid w:val="00224313"/>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652"/>
    <w:rsid w:val="00240B69"/>
    <w:rsid w:val="00240FAE"/>
    <w:rsid w:val="002412C4"/>
    <w:rsid w:val="0024165C"/>
    <w:rsid w:val="00242A34"/>
    <w:rsid w:val="002454CA"/>
    <w:rsid w:val="00245968"/>
    <w:rsid w:val="00245D1B"/>
    <w:rsid w:val="00245EBB"/>
    <w:rsid w:val="0024603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80B"/>
    <w:rsid w:val="00257BC6"/>
    <w:rsid w:val="00260C91"/>
    <w:rsid w:val="0026159C"/>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C3"/>
    <w:rsid w:val="00284DDF"/>
    <w:rsid w:val="00285B33"/>
    <w:rsid w:val="002860A2"/>
    <w:rsid w:val="002865F8"/>
    <w:rsid w:val="00286BCF"/>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643"/>
    <w:rsid w:val="002A3BC6"/>
    <w:rsid w:val="002A3C98"/>
    <w:rsid w:val="002A5609"/>
    <w:rsid w:val="002A676B"/>
    <w:rsid w:val="002A72B5"/>
    <w:rsid w:val="002A7355"/>
    <w:rsid w:val="002A7C9D"/>
    <w:rsid w:val="002A7D45"/>
    <w:rsid w:val="002B014A"/>
    <w:rsid w:val="002B0237"/>
    <w:rsid w:val="002B07B7"/>
    <w:rsid w:val="002B0A50"/>
    <w:rsid w:val="002B1972"/>
    <w:rsid w:val="002B3272"/>
    <w:rsid w:val="002B3A0E"/>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817"/>
    <w:rsid w:val="002E2CA1"/>
    <w:rsid w:val="002E2EF1"/>
    <w:rsid w:val="002E2F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B7D"/>
    <w:rsid w:val="00300106"/>
    <w:rsid w:val="003011DC"/>
    <w:rsid w:val="00301C53"/>
    <w:rsid w:val="0030254E"/>
    <w:rsid w:val="0030258F"/>
    <w:rsid w:val="00302E1F"/>
    <w:rsid w:val="003030FD"/>
    <w:rsid w:val="00303FFA"/>
    <w:rsid w:val="003042DD"/>
    <w:rsid w:val="00304E66"/>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501"/>
    <w:rsid w:val="00333B02"/>
    <w:rsid w:val="00334C77"/>
    <w:rsid w:val="00334E2D"/>
    <w:rsid w:val="00335575"/>
    <w:rsid w:val="00335A12"/>
    <w:rsid w:val="00336581"/>
    <w:rsid w:val="0033660C"/>
    <w:rsid w:val="003400A0"/>
    <w:rsid w:val="003415C7"/>
    <w:rsid w:val="00341D71"/>
    <w:rsid w:val="003423AA"/>
    <w:rsid w:val="003437B6"/>
    <w:rsid w:val="00343B1F"/>
    <w:rsid w:val="00343B8D"/>
    <w:rsid w:val="00343DA5"/>
    <w:rsid w:val="0034402C"/>
    <w:rsid w:val="00344518"/>
    <w:rsid w:val="003446BD"/>
    <w:rsid w:val="00344CF9"/>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110C"/>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D0D"/>
    <w:rsid w:val="00383340"/>
    <w:rsid w:val="003834A0"/>
    <w:rsid w:val="00383A17"/>
    <w:rsid w:val="003841EC"/>
    <w:rsid w:val="003849D2"/>
    <w:rsid w:val="00384B4C"/>
    <w:rsid w:val="003857C7"/>
    <w:rsid w:val="003860D0"/>
    <w:rsid w:val="00386781"/>
    <w:rsid w:val="00386FD0"/>
    <w:rsid w:val="0038719A"/>
    <w:rsid w:val="00387D4F"/>
    <w:rsid w:val="00387FEA"/>
    <w:rsid w:val="0039003E"/>
    <w:rsid w:val="003913C1"/>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ED0"/>
    <w:rsid w:val="003A7DB3"/>
    <w:rsid w:val="003B0048"/>
    <w:rsid w:val="003B0ABF"/>
    <w:rsid w:val="003B0B3C"/>
    <w:rsid w:val="003B0FC6"/>
    <w:rsid w:val="003B2985"/>
    <w:rsid w:val="003B2CB0"/>
    <w:rsid w:val="003B2F09"/>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86"/>
    <w:rsid w:val="003D7CEC"/>
    <w:rsid w:val="003E002D"/>
    <w:rsid w:val="003E07FB"/>
    <w:rsid w:val="003E128A"/>
    <w:rsid w:val="003E17EC"/>
    <w:rsid w:val="003E1BF1"/>
    <w:rsid w:val="003E2092"/>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15A"/>
    <w:rsid w:val="003F4725"/>
    <w:rsid w:val="003F4991"/>
    <w:rsid w:val="003F4CC5"/>
    <w:rsid w:val="003F572C"/>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2503"/>
    <w:rsid w:val="00412BF3"/>
    <w:rsid w:val="00412F4E"/>
    <w:rsid w:val="0041330D"/>
    <w:rsid w:val="004137F4"/>
    <w:rsid w:val="00413CD6"/>
    <w:rsid w:val="00414466"/>
    <w:rsid w:val="00414BBB"/>
    <w:rsid w:val="00414C89"/>
    <w:rsid w:val="00414E8D"/>
    <w:rsid w:val="00415C14"/>
    <w:rsid w:val="004178AD"/>
    <w:rsid w:val="004200E3"/>
    <w:rsid w:val="00420193"/>
    <w:rsid w:val="0042075C"/>
    <w:rsid w:val="00420FA7"/>
    <w:rsid w:val="004218FE"/>
    <w:rsid w:val="00421F33"/>
    <w:rsid w:val="00422115"/>
    <w:rsid w:val="0042283F"/>
    <w:rsid w:val="00422CCC"/>
    <w:rsid w:val="004231B1"/>
    <w:rsid w:val="0042435F"/>
    <w:rsid w:val="00424F26"/>
    <w:rsid w:val="004259C6"/>
    <w:rsid w:val="00425B0F"/>
    <w:rsid w:val="0042672C"/>
    <w:rsid w:val="00426794"/>
    <w:rsid w:val="00426997"/>
    <w:rsid w:val="00426EB0"/>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07"/>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24BE"/>
    <w:rsid w:val="00483370"/>
    <w:rsid w:val="0048371F"/>
    <w:rsid w:val="0048399A"/>
    <w:rsid w:val="00483CC4"/>
    <w:rsid w:val="00483FF8"/>
    <w:rsid w:val="0048402C"/>
    <w:rsid w:val="0048458C"/>
    <w:rsid w:val="004847AD"/>
    <w:rsid w:val="00484A06"/>
    <w:rsid w:val="00484CB5"/>
    <w:rsid w:val="004850A4"/>
    <w:rsid w:val="00485996"/>
    <w:rsid w:val="00485C3B"/>
    <w:rsid w:val="00485DD1"/>
    <w:rsid w:val="00486B41"/>
    <w:rsid w:val="00487511"/>
    <w:rsid w:val="004903C8"/>
    <w:rsid w:val="00490A0E"/>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4DF9"/>
    <w:rsid w:val="004C50E6"/>
    <w:rsid w:val="004C5BA9"/>
    <w:rsid w:val="004C6C0C"/>
    <w:rsid w:val="004C775F"/>
    <w:rsid w:val="004C79D5"/>
    <w:rsid w:val="004C7D6D"/>
    <w:rsid w:val="004D0665"/>
    <w:rsid w:val="004D08D3"/>
    <w:rsid w:val="004D0CAF"/>
    <w:rsid w:val="004D0DB8"/>
    <w:rsid w:val="004D174A"/>
    <w:rsid w:val="004D1AA3"/>
    <w:rsid w:val="004D1B37"/>
    <w:rsid w:val="004D1CC4"/>
    <w:rsid w:val="004D1E8F"/>
    <w:rsid w:val="004D2A09"/>
    <w:rsid w:val="004D2C87"/>
    <w:rsid w:val="004D37DC"/>
    <w:rsid w:val="004D47D4"/>
    <w:rsid w:val="004D4D38"/>
    <w:rsid w:val="004D5A0C"/>
    <w:rsid w:val="004D5F73"/>
    <w:rsid w:val="004D6B4C"/>
    <w:rsid w:val="004D6C3C"/>
    <w:rsid w:val="004D6D1C"/>
    <w:rsid w:val="004D72D3"/>
    <w:rsid w:val="004D73FA"/>
    <w:rsid w:val="004E00B5"/>
    <w:rsid w:val="004E04D2"/>
    <w:rsid w:val="004E106D"/>
    <w:rsid w:val="004E11D6"/>
    <w:rsid w:val="004E1BB1"/>
    <w:rsid w:val="004E1DFA"/>
    <w:rsid w:val="004E233F"/>
    <w:rsid w:val="004E26C8"/>
    <w:rsid w:val="004E3A8C"/>
    <w:rsid w:val="004E402C"/>
    <w:rsid w:val="004E40E8"/>
    <w:rsid w:val="004E4A63"/>
    <w:rsid w:val="004E548A"/>
    <w:rsid w:val="004E54C4"/>
    <w:rsid w:val="004E6316"/>
    <w:rsid w:val="004E6F07"/>
    <w:rsid w:val="004E750F"/>
    <w:rsid w:val="004E7B36"/>
    <w:rsid w:val="004E7D3A"/>
    <w:rsid w:val="004F0702"/>
    <w:rsid w:val="004F1173"/>
    <w:rsid w:val="004F30DC"/>
    <w:rsid w:val="004F35A1"/>
    <w:rsid w:val="004F3D8F"/>
    <w:rsid w:val="004F417F"/>
    <w:rsid w:val="004F484C"/>
    <w:rsid w:val="004F4924"/>
    <w:rsid w:val="004F56A3"/>
    <w:rsid w:val="004F56F2"/>
    <w:rsid w:val="004F58C7"/>
    <w:rsid w:val="004F5F08"/>
    <w:rsid w:val="004F5F77"/>
    <w:rsid w:val="004F5FF2"/>
    <w:rsid w:val="004F6EAA"/>
    <w:rsid w:val="004F7395"/>
    <w:rsid w:val="004F7F94"/>
    <w:rsid w:val="00501138"/>
    <w:rsid w:val="00501390"/>
    <w:rsid w:val="00501FBD"/>
    <w:rsid w:val="00502912"/>
    <w:rsid w:val="00502978"/>
    <w:rsid w:val="00502BDB"/>
    <w:rsid w:val="00502F9E"/>
    <w:rsid w:val="00503006"/>
    <w:rsid w:val="00503E5C"/>
    <w:rsid w:val="00504121"/>
    <w:rsid w:val="005041C7"/>
    <w:rsid w:val="00506B41"/>
    <w:rsid w:val="00507089"/>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F6"/>
    <w:rsid w:val="00516421"/>
    <w:rsid w:val="00516537"/>
    <w:rsid w:val="005165A3"/>
    <w:rsid w:val="0051691B"/>
    <w:rsid w:val="00516F14"/>
    <w:rsid w:val="00517624"/>
    <w:rsid w:val="00520558"/>
    <w:rsid w:val="00520577"/>
    <w:rsid w:val="005237C6"/>
    <w:rsid w:val="00523C3B"/>
    <w:rsid w:val="005243ED"/>
    <w:rsid w:val="00525541"/>
    <w:rsid w:val="00525F05"/>
    <w:rsid w:val="00526513"/>
    <w:rsid w:val="00527AA0"/>
    <w:rsid w:val="00527BE9"/>
    <w:rsid w:val="00527C1E"/>
    <w:rsid w:val="00530FCD"/>
    <w:rsid w:val="005311AF"/>
    <w:rsid w:val="00531CC2"/>
    <w:rsid w:val="00533CE1"/>
    <w:rsid w:val="005342C0"/>
    <w:rsid w:val="00534FF6"/>
    <w:rsid w:val="00535A99"/>
    <w:rsid w:val="0053685F"/>
    <w:rsid w:val="00536D96"/>
    <w:rsid w:val="00536D98"/>
    <w:rsid w:val="00536F3B"/>
    <w:rsid w:val="005372E0"/>
    <w:rsid w:val="00540128"/>
    <w:rsid w:val="005402BA"/>
    <w:rsid w:val="00540344"/>
    <w:rsid w:val="00540C68"/>
    <w:rsid w:val="005427A4"/>
    <w:rsid w:val="00543054"/>
    <w:rsid w:val="00543797"/>
    <w:rsid w:val="00544613"/>
    <w:rsid w:val="00544B01"/>
    <w:rsid w:val="00545AB5"/>
    <w:rsid w:val="005466D5"/>
    <w:rsid w:val="005479D7"/>
    <w:rsid w:val="0055060B"/>
    <w:rsid w:val="00550717"/>
    <w:rsid w:val="00550BD5"/>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346"/>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06B"/>
    <w:rsid w:val="005C211C"/>
    <w:rsid w:val="005C2DF0"/>
    <w:rsid w:val="005C30C2"/>
    <w:rsid w:val="005C38FE"/>
    <w:rsid w:val="005C3AC9"/>
    <w:rsid w:val="005C3FD4"/>
    <w:rsid w:val="005C493A"/>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421B"/>
    <w:rsid w:val="005D59DC"/>
    <w:rsid w:val="005D5A20"/>
    <w:rsid w:val="005D5AC4"/>
    <w:rsid w:val="005D5C00"/>
    <w:rsid w:val="005D6122"/>
    <w:rsid w:val="005D652D"/>
    <w:rsid w:val="005D66B8"/>
    <w:rsid w:val="005D67B3"/>
    <w:rsid w:val="005D746A"/>
    <w:rsid w:val="005D76FD"/>
    <w:rsid w:val="005D7C3A"/>
    <w:rsid w:val="005D7D46"/>
    <w:rsid w:val="005E044B"/>
    <w:rsid w:val="005E0694"/>
    <w:rsid w:val="005E078F"/>
    <w:rsid w:val="005E079F"/>
    <w:rsid w:val="005E0D58"/>
    <w:rsid w:val="005E100A"/>
    <w:rsid w:val="005E1E48"/>
    <w:rsid w:val="005E1F1E"/>
    <w:rsid w:val="005E2FE8"/>
    <w:rsid w:val="005E39AE"/>
    <w:rsid w:val="005E48A9"/>
    <w:rsid w:val="005E54E8"/>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30F"/>
    <w:rsid w:val="005F4D08"/>
    <w:rsid w:val="005F56F3"/>
    <w:rsid w:val="005F5C46"/>
    <w:rsid w:val="005F6085"/>
    <w:rsid w:val="005F6207"/>
    <w:rsid w:val="005F66B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0D0"/>
    <w:rsid w:val="00613631"/>
    <w:rsid w:val="0061368E"/>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592E"/>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0F2"/>
    <w:rsid w:val="006443A2"/>
    <w:rsid w:val="0064460D"/>
    <w:rsid w:val="00645509"/>
    <w:rsid w:val="00645706"/>
    <w:rsid w:val="006459EF"/>
    <w:rsid w:val="00646064"/>
    <w:rsid w:val="0064610C"/>
    <w:rsid w:val="00646455"/>
    <w:rsid w:val="00646DCD"/>
    <w:rsid w:val="006474AD"/>
    <w:rsid w:val="0065077E"/>
    <w:rsid w:val="006509AF"/>
    <w:rsid w:val="006512E9"/>
    <w:rsid w:val="006516C0"/>
    <w:rsid w:val="0065191F"/>
    <w:rsid w:val="00651AE3"/>
    <w:rsid w:val="0065285C"/>
    <w:rsid w:val="00653BE3"/>
    <w:rsid w:val="00653EF3"/>
    <w:rsid w:val="00654E55"/>
    <w:rsid w:val="006550CA"/>
    <w:rsid w:val="0065647C"/>
    <w:rsid w:val="00656F3E"/>
    <w:rsid w:val="00657015"/>
    <w:rsid w:val="00657AC8"/>
    <w:rsid w:val="006601C3"/>
    <w:rsid w:val="00660791"/>
    <w:rsid w:val="006617C9"/>
    <w:rsid w:val="00661FFD"/>
    <w:rsid w:val="006622C0"/>
    <w:rsid w:val="00663024"/>
    <w:rsid w:val="006638DD"/>
    <w:rsid w:val="00663A29"/>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A76"/>
    <w:rsid w:val="0067427A"/>
    <w:rsid w:val="0067429E"/>
    <w:rsid w:val="006744DD"/>
    <w:rsid w:val="00674592"/>
    <w:rsid w:val="00674A69"/>
    <w:rsid w:val="00674BC5"/>
    <w:rsid w:val="00675688"/>
    <w:rsid w:val="00675744"/>
    <w:rsid w:val="00675766"/>
    <w:rsid w:val="00675C71"/>
    <w:rsid w:val="00675CB8"/>
    <w:rsid w:val="006767A4"/>
    <w:rsid w:val="006774D7"/>
    <w:rsid w:val="00680623"/>
    <w:rsid w:val="00680A9E"/>
    <w:rsid w:val="006812FB"/>
    <w:rsid w:val="0068150F"/>
    <w:rsid w:val="00681A30"/>
    <w:rsid w:val="006821A9"/>
    <w:rsid w:val="0068232F"/>
    <w:rsid w:val="0068272D"/>
    <w:rsid w:val="00682BC3"/>
    <w:rsid w:val="00682CF7"/>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2256"/>
    <w:rsid w:val="006C2F93"/>
    <w:rsid w:val="006C33C3"/>
    <w:rsid w:val="006C51E3"/>
    <w:rsid w:val="006C5BFC"/>
    <w:rsid w:val="006C5CE6"/>
    <w:rsid w:val="006C5EAA"/>
    <w:rsid w:val="006C62FE"/>
    <w:rsid w:val="006C6343"/>
    <w:rsid w:val="006C67B1"/>
    <w:rsid w:val="006C6D1B"/>
    <w:rsid w:val="006C78A6"/>
    <w:rsid w:val="006C7E01"/>
    <w:rsid w:val="006D04BD"/>
    <w:rsid w:val="006D0876"/>
    <w:rsid w:val="006D0ACE"/>
    <w:rsid w:val="006D104D"/>
    <w:rsid w:val="006D11F5"/>
    <w:rsid w:val="006D1262"/>
    <w:rsid w:val="006D1D61"/>
    <w:rsid w:val="006D2071"/>
    <w:rsid w:val="006D2C9E"/>
    <w:rsid w:val="006D3A47"/>
    <w:rsid w:val="006D5820"/>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9A6"/>
    <w:rsid w:val="00704ADE"/>
    <w:rsid w:val="00705373"/>
    <w:rsid w:val="007065A8"/>
    <w:rsid w:val="00707201"/>
    <w:rsid w:val="00707894"/>
    <w:rsid w:val="007079B0"/>
    <w:rsid w:val="00707AFA"/>
    <w:rsid w:val="00707B7F"/>
    <w:rsid w:val="00710162"/>
    <w:rsid w:val="00710409"/>
    <w:rsid w:val="00710A46"/>
    <w:rsid w:val="007111CB"/>
    <w:rsid w:val="0071165A"/>
    <w:rsid w:val="0071192D"/>
    <w:rsid w:val="007120EF"/>
    <w:rsid w:val="007122DA"/>
    <w:rsid w:val="00712D17"/>
    <w:rsid w:val="00713587"/>
    <w:rsid w:val="00714059"/>
    <w:rsid w:val="00714E61"/>
    <w:rsid w:val="00715391"/>
    <w:rsid w:val="007159F4"/>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558C"/>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5095"/>
    <w:rsid w:val="007555DB"/>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4E78"/>
    <w:rsid w:val="0076505F"/>
    <w:rsid w:val="0076508E"/>
    <w:rsid w:val="00766192"/>
    <w:rsid w:val="0076642C"/>
    <w:rsid w:val="00766578"/>
    <w:rsid w:val="007670EE"/>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3C2"/>
    <w:rsid w:val="00784F35"/>
    <w:rsid w:val="007850AB"/>
    <w:rsid w:val="00785B60"/>
    <w:rsid w:val="00785D20"/>
    <w:rsid w:val="0078615B"/>
    <w:rsid w:val="007861BC"/>
    <w:rsid w:val="00786664"/>
    <w:rsid w:val="00786B02"/>
    <w:rsid w:val="00787D3D"/>
    <w:rsid w:val="007901BF"/>
    <w:rsid w:val="00790495"/>
    <w:rsid w:val="007909A0"/>
    <w:rsid w:val="007909F9"/>
    <w:rsid w:val="00790A3B"/>
    <w:rsid w:val="00791BC6"/>
    <w:rsid w:val="00792263"/>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D1B"/>
    <w:rsid w:val="007D246F"/>
    <w:rsid w:val="007D2B46"/>
    <w:rsid w:val="007D32D2"/>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B2"/>
    <w:rsid w:val="007E398F"/>
    <w:rsid w:val="007E3FE7"/>
    <w:rsid w:val="007E42B6"/>
    <w:rsid w:val="007E4352"/>
    <w:rsid w:val="007E5739"/>
    <w:rsid w:val="007E5B06"/>
    <w:rsid w:val="007E5D6F"/>
    <w:rsid w:val="007E7C90"/>
    <w:rsid w:val="007E7D84"/>
    <w:rsid w:val="007E7E5E"/>
    <w:rsid w:val="007F0309"/>
    <w:rsid w:val="007F14DD"/>
    <w:rsid w:val="007F1A98"/>
    <w:rsid w:val="007F1AEA"/>
    <w:rsid w:val="007F1D60"/>
    <w:rsid w:val="007F2040"/>
    <w:rsid w:val="007F3407"/>
    <w:rsid w:val="007F38FC"/>
    <w:rsid w:val="007F39DE"/>
    <w:rsid w:val="007F43BC"/>
    <w:rsid w:val="007F5574"/>
    <w:rsid w:val="007F5C77"/>
    <w:rsid w:val="007F77C3"/>
    <w:rsid w:val="0080034B"/>
    <w:rsid w:val="008006F8"/>
    <w:rsid w:val="00801CF6"/>
    <w:rsid w:val="008022D2"/>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111BB"/>
    <w:rsid w:val="008111C5"/>
    <w:rsid w:val="00811BF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898"/>
    <w:rsid w:val="00825B90"/>
    <w:rsid w:val="00825C27"/>
    <w:rsid w:val="00825D73"/>
    <w:rsid w:val="00826022"/>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2E8"/>
    <w:rsid w:val="00843652"/>
    <w:rsid w:val="00843904"/>
    <w:rsid w:val="00843F07"/>
    <w:rsid w:val="008445E1"/>
    <w:rsid w:val="0084499C"/>
    <w:rsid w:val="00845137"/>
    <w:rsid w:val="00845CBC"/>
    <w:rsid w:val="008460A2"/>
    <w:rsid w:val="00846F78"/>
    <w:rsid w:val="008510A4"/>
    <w:rsid w:val="008522A0"/>
    <w:rsid w:val="00852CB8"/>
    <w:rsid w:val="00854086"/>
    <w:rsid w:val="008550BC"/>
    <w:rsid w:val="00856068"/>
    <w:rsid w:val="0085619C"/>
    <w:rsid w:val="008564C2"/>
    <w:rsid w:val="00857BAA"/>
    <w:rsid w:val="00860316"/>
    <w:rsid w:val="0086096D"/>
    <w:rsid w:val="00860A18"/>
    <w:rsid w:val="00861967"/>
    <w:rsid w:val="00861C04"/>
    <w:rsid w:val="00861C95"/>
    <w:rsid w:val="00862D8F"/>
    <w:rsid w:val="008632F6"/>
    <w:rsid w:val="008635C8"/>
    <w:rsid w:val="0086429C"/>
    <w:rsid w:val="00864C07"/>
    <w:rsid w:val="00864D1D"/>
    <w:rsid w:val="00865343"/>
    <w:rsid w:val="00865385"/>
    <w:rsid w:val="00865648"/>
    <w:rsid w:val="00865C00"/>
    <w:rsid w:val="0086612E"/>
    <w:rsid w:val="00866157"/>
    <w:rsid w:val="008661EC"/>
    <w:rsid w:val="00866790"/>
    <w:rsid w:val="008675B2"/>
    <w:rsid w:val="00867994"/>
    <w:rsid w:val="00867BF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0D27"/>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4070"/>
    <w:rsid w:val="008A4293"/>
    <w:rsid w:val="008A46E3"/>
    <w:rsid w:val="008A4B4F"/>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45B"/>
    <w:rsid w:val="008F59D7"/>
    <w:rsid w:val="008F604E"/>
    <w:rsid w:val="008F63BC"/>
    <w:rsid w:val="008F69D4"/>
    <w:rsid w:val="008F702B"/>
    <w:rsid w:val="008F7CD1"/>
    <w:rsid w:val="00901043"/>
    <w:rsid w:val="00901048"/>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F0F"/>
    <w:rsid w:val="00915662"/>
    <w:rsid w:val="009156A9"/>
    <w:rsid w:val="00915A37"/>
    <w:rsid w:val="00915B32"/>
    <w:rsid w:val="00916F0D"/>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6D8"/>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7D8"/>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6A8C"/>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9D4"/>
    <w:rsid w:val="00994B88"/>
    <w:rsid w:val="00995822"/>
    <w:rsid w:val="00995D60"/>
    <w:rsid w:val="00997A80"/>
    <w:rsid w:val="009A01EE"/>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2BF"/>
    <w:rsid w:val="009B34C8"/>
    <w:rsid w:val="009B36CE"/>
    <w:rsid w:val="009B4043"/>
    <w:rsid w:val="009B42A0"/>
    <w:rsid w:val="009B4654"/>
    <w:rsid w:val="009B4EE1"/>
    <w:rsid w:val="009B514C"/>
    <w:rsid w:val="009B705B"/>
    <w:rsid w:val="009B74BE"/>
    <w:rsid w:val="009B77F5"/>
    <w:rsid w:val="009C08A0"/>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B2F"/>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C32"/>
    <w:rsid w:val="009F0CD7"/>
    <w:rsid w:val="009F0F82"/>
    <w:rsid w:val="009F186B"/>
    <w:rsid w:val="009F2832"/>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1B9"/>
    <w:rsid w:val="00A322B7"/>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50F"/>
    <w:rsid w:val="00A4364E"/>
    <w:rsid w:val="00A43F22"/>
    <w:rsid w:val="00A4434B"/>
    <w:rsid w:val="00A44640"/>
    <w:rsid w:val="00A44888"/>
    <w:rsid w:val="00A44BEC"/>
    <w:rsid w:val="00A45E53"/>
    <w:rsid w:val="00A45F87"/>
    <w:rsid w:val="00A463C2"/>
    <w:rsid w:val="00A46C3D"/>
    <w:rsid w:val="00A4743F"/>
    <w:rsid w:val="00A530C6"/>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482"/>
    <w:rsid w:val="00A66537"/>
    <w:rsid w:val="00A666A6"/>
    <w:rsid w:val="00A6721B"/>
    <w:rsid w:val="00A67840"/>
    <w:rsid w:val="00A7091F"/>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A55"/>
    <w:rsid w:val="00A95C52"/>
    <w:rsid w:val="00A9685E"/>
    <w:rsid w:val="00A96E39"/>
    <w:rsid w:val="00A977DD"/>
    <w:rsid w:val="00A97821"/>
    <w:rsid w:val="00A97F50"/>
    <w:rsid w:val="00AA08E2"/>
    <w:rsid w:val="00AA0C2D"/>
    <w:rsid w:val="00AA0EB9"/>
    <w:rsid w:val="00AA0EF1"/>
    <w:rsid w:val="00AA0FF8"/>
    <w:rsid w:val="00AA2193"/>
    <w:rsid w:val="00AA21D1"/>
    <w:rsid w:val="00AA2B9C"/>
    <w:rsid w:val="00AA2F96"/>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4C7"/>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1FBF"/>
    <w:rsid w:val="00AE22B1"/>
    <w:rsid w:val="00AE2992"/>
    <w:rsid w:val="00AE3262"/>
    <w:rsid w:val="00AE327E"/>
    <w:rsid w:val="00AE3ACC"/>
    <w:rsid w:val="00AE4181"/>
    <w:rsid w:val="00AE5219"/>
    <w:rsid w:val="00AE5C4E"/>
    <w:rsid w:val="00AE61F9"/>
    <w:rsid w:val="00AE629C"/>
    <w:rsid w:val="00AE74A3"/>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6156"/>
    <w:rsid w:val="00B06451"/>
    <w:rsid w:val="00B06872"/>
    <w:rsid w:val="00B0789B"/>
    <w:rsid w:val="00B07C7A"/>
    <w:rsid w:val="00B07D7A"/>
    <w:rsid w:val="00B10F46"/>
    <w:rsid w:val="00B1144B"/>
    <w:rsid w:val="00B121FA"/>
    <w:rsid w:val="00B14EDB"/>
    <w:rsid w:val="00B14FD0"/>
    <w:rsid w:val="00B15057"/>
    <w:rsid w:val="00B154C5"/>
    <w:rsid w:val="00B15CA8"/>
    <w:rsid w:val="00B15D0A"/>
    <w:rsid w:val="00B16995"/>
    <w:rsid w:val="00B1712C"/>
    <w:rsid w:val="00B17416"/>
    <w:rsid w:val="00B176ED"/>
    <w:rsid w:val="00B179B4"/>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2413"/>
    <w:rsid w:val="00B354B4"/>
    <w:rsid w:val="00B35E61"/>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2A99"/>
    <w:rsid w:val="00B7369F"/>
    <w:rsid w:val="00B73C78"/>
    <w:rsid w:val="00B73E20"/>
    <w:rsid w:val="00B7434D"/>
    <w:rsid w:val="00B744A9"/>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3EB"/>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B62"/>
    <w:rsid w:val="00B92418"/>
    <w:rsid w:val="00B92A3E"/>
    <w:rsid w:val="00B92BC2"/>
    <w:rsid w:val="00B936DE"/>
    <w:rsid w:val="00B9380E"/>
    <w:rsid w:val="00B944E6"/>
    <w:rsid w:val="00B95128"/>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96A"/>
    <w:rsid w:val="00BA7D2D"/>
    <w:rsid w:val="00BB00E4"/>
    <w:rsid w:val="00BB09F1"/>
    <w:rsid w:val="00BB1963"/>
    <w:rsid w:val="00BB1AFE"/>
    <w:rsid w:val="00BB22D7"/>
    <w:rsid w:val="00BB2E59"/>
    <w:rsid w:val="00BB4775"/>
    <w:rsid w:val="00BB5127"/>
    <w:rsid w:val="00BB62B4"/>
    <w:rsid w:val="00BB7A00"/>
    <w:rsid w:val="00BC0786"/>
    <w:rsid w:val="00BC1350"/>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F1B"/>
    <w:rsid w:val="00BD3CC7"/>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4E7"/>
    <w:rsid w:val="00BE5E45"/>
    <w:rsid w:val="00BE60E8"/>
    <w:rsid w:val="00BE646D"/>
    <w:rsid w:val="00BE743F"/>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180"/>
    <w:rsid w:val="00BF7950"/>
    <w:rsid w:val="00BF7B88"/>
    <w:rsid w:val="00C0075C"/>
    <w:rsid w:val="00C018FC"/>
    <w:rsid w:val="00C019FC"/>
    <w:rsid w:val="00C02B85"/>
    <w:rsid w:val="00C02C3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E8C"/>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9E9"/>
    <w:rsid w:val="00C915E1"/>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943"/>
    <w:rsid w:val="00CA3AA5"/>
    <w:rsid w:val="00CA468B"/>
    <w:rsid w:val="00CA472E"/>
    <w:rsid w:val="00CA4C95"/>
    <w:rsid w:val="00CA536C"/>
    <w:rsid w:val="00CA5B3E"/>
    <w:rsid w:val="00CA72F8"/>
    <w:rsid w:val="00CB0045"/>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5073"/>
    <w:rsid w:val="00CB50C8"/>
    <w:rsid w:val="00CB564A"/>
    <w:rsid w:val="00CB58BA"/>
    <w:rsid w:val="00CB6130"/>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6B8"/>
    <w:rsid w:val="00CD418F"/>
    <w:rsid w:val="00CD4485"/>
    <w:rsid w:val="00CD4DDF"/>
    <w:rsid w:val="00CD5A30"/>
    <w:rsid w:val="00CD5A48"/>
    <w:rsid w:val="00CD6253"/>
    <w:rsid w:val="00CD677A"/>
    <w:rsid w:val="00CD716D"/>
    <w:rsid w:val="00CD74C5"/>
    <w:rsid w:val="00CD77D6"/>
    <w:rsid w:val="00CD7B57"/>
    <w:rsid w:val="00CD7C61"/>
    <w:rsid w:val="00CD7F03"/>
    <w:rsid w:val="00CE0C44"/>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041"/>
    <w:rsid w:val="00D312F6"/>
    <w:rsid w:val="00D31A1C"/>
    <w:rsid w:val="00D32A79"/>
    <w:rsid w:val="00D34305"/>
    <w:rsid w:val="00D3465D"/>
    <w:rsid w:val="00D35C3F"/>
    <w:rsid w:val="00D35E30"/>
    <w:rsid w:val="00D377DF"/>
    <w:rsid w:val="00D40C66"/>
    <w:rsid w:val="00D41A31"/>
    <w:rsid w:val="00D41C57"/>
    <w:rsid w:val="00D4275E"/>
    <w:rsid w:val="00D42A1D"/>
    <w:rsid w:val="00D4345A"/>
    <w:rsid w:val="00D4348C"/>
    <w:rsid w:val="00D43983"/>
    <w:rsid w:val="00D443C8"/>
    <w:rsid w:val="00D44F5A"/>
    <w:rsid w:val="00D450EB"/>
    <w:rsid w:val="00D45105"/>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7CA"/>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217"/>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3897"/>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D01"/>
    <w:rsid w:val="00DE1122"/>
    <w:rsid w:val="00DE2447"/>
    <w:rsid w:val="00DE2E74"/>
    <w:rsid w:val="00DE3215"/>
    <w:rsid w:val="00DE37D7"/>
    <w:rsid w:val="00DE3C75"/>
    <w:rsid w:val="00DE4E70"/>
    <w:rsid w:val="00DE58EF"/>
    <w:rsid w:val="00DE672E"/>
    <w:rsid w:val="00DE7812"/>
    <w:rsid w:val="00DE7DCE"/>
    <w:rsid w:val="00DE7DDE"/>
    <w:rsid w:val="00DF0A2D"/>
    <w:rsid w:val="00DF0C54"/>
    <w:rsid w:val="00DF1929"/>
    <w:rsid w:val="00DF215F"/>
    <w:rsid w:val="00DF22BC"/>
    <w:rsid w:val="00DF22C6"/>
    <w:rsid w:val="00DF237B"/>
    <w:rsid w:val="00DF332A"/>
    <w:rsid w:val="00DF3E86"/>
    <w:rsid w:val="00DF46F1"/>
    <w:rsid w:val="00DF4B42"/>
    <w:rsid w:val="00DF55EA"/>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4D8"/>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4E1"/>
    <w:rsid w:val="00E45B8A"/>
    <w:rsid w:val="00E45DCE"/>
    <w:rsid w:val="00E45DE3"/>
    <w:rsid w:val="00E4638B"/>
    <w:rsid w:val="00E46F0C"/>
    <w:rsid w:val="00E5009B"/>
    <w:rsid w:val="00E50D83"/>
    <w:rsid w:val="00E51600"/>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5DA8"/>
    <w:rsid w:val="00E76865"/>
    <w:rsid w:val="00E7695D"/>
    <w:rsid w:val="00E76D0E"/>
    <w:rsid w:val="00E7701E"/>
    <w:rsid w:val="00E7772A"/>
    <w:rsid w:val="00E80424"/>
    <w:rsid w:val="00E8095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173A"/>
    <w:rsid w:val="00EB25F8"/>
    <w:rsid w:val="00EB2EDB"/>
    <w:rsid w:val="00EB3703"/>
    <w:rsid w:val="00EB3E7B"/>
    <w:rsid w:val="00EB4031"/>
    <w:rsid w:val="00EB4269"/>
    <w:rsid w:val="00EB4884"/>
    <w:rsid w:val="00EB4C05"/>
    <w:rsid w:val="00EB590E"/>
    <w:rsid w:val="00EB598A"/>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12E"/>
    <w:rsid w:val="00EE0801"/>
    <w:rsid w:val="00EE16BE"/>
    <w:rsid w:val="00EE17F4"/>
    <w:rsid w:val="00EE19B9"/>
    <w:rsid w:val="00EE1BC3"/>
    <w:rsid w:val="00EE1D0E"/>
    <w:rsid w:val="00EE3474"/>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B4D"/>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6AE"/>
    <w:rsid w:val="00F32CA9"/>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4B"/>
    <w:rsid w:val="00F52FDF"/>
    <w:rsid w:val="00F537FD"/>
    <w:rsid w:val="00F53BF8"/>
    <w:rsid w:val="00F53C43"/>
    <w:rsid w:val="00F53C7D"/>
    <w:rsid w:val="00F5409A"/>
    <w:rsid w:val="00F543F2"/>
    <w:rsid w:val="00F5443E"/>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5FEB"/>
    <w:rsid w:val="00F9748B"/>
    <w:rsid w:val="00F9759C"/>
    <w:rsid w:val="00FA0640"/>
    <w:rsid w:val="00FA072F"/>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8BE"/>
    <w:rsid w:val="00FD2F60"/>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DFD"/>
    <w:rsid w:val="00FF5EF6"/>
    <w:rsid w:val="00FF6413"/>
    <w:rsid w:val="00FF69E5"/>
    <w:rsid w:val="00FF6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9C18140A-A6EF-467A-9798-DA472DC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38173348">
      <w:bodyDiv w:val="1"/>
      <w:marLeft w:val="0"/>
      <w:marRight w:val="0"/>
      <w:marTop w:val="0"/>
      <w:marBottom w:val="0"/>
      <w:divBdr>
        <w:top w:val="none" w:sz="0" w:space="0" w:color="auto"/>
        <w:left w:val="none" w:sz="0" w:space="0" w:color="auto"/>
        <w:bottom w:val="none" w:sz="0" w:space="0" w:color="auto"/>
        <w:right w:val="none" w:sz="0" w:space="0" w:color="auto"/>
      </w:divBdr>
    </w:div>
    <w:div w:id="25089016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77269">
      <w:bodyDiv w:val="1"/>
      <w:marLeft w:val="0"/>
      <w:marRight w:val="0"/>
      <w:marTop w:val="0"/>
      <w:marBottom w:val="0"/>
      <w:divBdr>
        <w:top w:val="none" w:sz="0" w:space="0" w:color="auto"/>
        <w:left w:val="none" w:sz="0" w:space="0" w:color="auto"/>
        <w:bottom w:val="none" w:sz="0" w:space="0" w:color="auto"/>
        <w:right w:val="none" w:sz="0" w:space="0" w:color="auto"/>
      </w:divBdr>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41770303">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3504988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71571">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43207164">
      <w:bodyDiv w:val="1"/>
      <w:marLeft w:val="0"/>
      <w:marRight w:val="0"/>
      <w:marTop w:val="0"/>
      <w:marBottom w:val="0"/>
      <w:divBdr>
        <w:top w:val="none" w:sz="0" w:space="0" w:color="auto"/>
        <w:left w:val="none" w:sz="0" w:space="0" w:color="auto"/>
        <w:bottom w:val="none" w:sz="0" w:space="0" w:color="auto"/>
        <w:right w:val="none" w:sz="0" w:space="0" w:color="auto"/>
      </w:divBdr>
    </w:div>
    <w:div w:id="154444003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55589597">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920750891">
      <w:bodyDiv w:val="1"/>
      <w:marLeft w:val="0"/>
      <w:marRight w:val="0"/>
      <w:marTop w:val="0"/>
      <w:marBottom w:val="0"/>
      <w:divBdr>
        <w:top w:val="none" w:sz="0" w:space="0" w:color="auto"/>
        <w:left w:val="none" w:sz="0" w:space="0" w:color="auto"/>
        <w:bottom w:val="none" w:sz="0" w:space="0" w:color="auto"/>
        <w:right w:val="none" w:sz="0" w:space="0" w:color="auto"/>
      </w:divBdr>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rcon.panasonic.eu/DE_de/news/new/luftwasser-warmepumpe-klimaanlage-und-brauchwarmwasser-in-einem-system/" TargetMode="External"/><Relationship Id="rId18" Type="http://schemas.openxmlformats.org/officeDocument/2006/relationships/hyperlink" Target="https://holdings.panasonic/glob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panasonic.com/IFA2022" TargetMode="External"/><Relationship Id="rId2" Type="http://schemas.openxmlformats.org/officeDocument/2006/relationships/customXml" Target="../customXml/item2.xml"/><Relationship Id="rId16" Type="http://schemas.openxmlformats.org/officeDocument/2006/relationships/hyperlink" Target="https://www.panasonic.com/de/corporate/presse/alle-meldungen/009-fy2022-panasonic-multishap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yperlink" Target="https://news.panasonic.com/global/press/data/2022/04/en220427-1/en220427-1.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esse.kontakt@eu.panasoni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anasonic.com/global/press/data/2021/10/en211001-4/en211001-4.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7AC9C488B2864A806A3D46583877FA" ma:contentTypeVersion="14" ma:contentTypeDescription="Create a new document." ma:contentTypeScope="" ma:versionID="726c824c4faf1d14b80ca6291cc8e03c">
  <xsd:schema xmlns:xsd="http://www.w3.org/2001/XMLSchema" xmlns:xs="http://www.w3.org/2001/XMLSchema" xmlns:p="http://schemas.microsoft.com/office/2006/metadata/properties" xmlns:ns2="a5057d58-e393-48e6-9524-a55f63fa7962" xmlns:ns3="574a78ac-ba53-4a4c-a33c-c67cd40986ef" targetNamespace="http://schemas.microsoft.com/office/2006/metadata/properties" ma:root="true" ma:fieldsID="1c8dc0baeda0519081d5a98177323890" ns2:_="" ns3:_="">
    <xsd:import namespace="a5057d58-e393-48e6-9524-a55f63fa7962"/>
    <xsd:import namespace="574a78ac-ba53-4a4c-a33c-c67cd40986e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57d58-e393-48e6-9524-a55f63fa796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a78ac-ba53-4a4c-a33c-c67cd40986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65df33f-03b4-4397-8b08-bf0d057ef26d}" ma:internalName="TaxCatchAll" ma:showField="CatchAllData" ma:web="574a78ac-ba53-4a4c-a33c-c67cd40986e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057d58-e393-48e6-9524-a55f63fa7962">
      <Terms xmlns="http://schemas.microsoft.com/office/infopath/2007/PartnerControls"/>
    </lcf76f155ced4ddcb4097134ff3c332f>
    <TaxCatchAll xmlns="574a78ac-ba53-4a4c-a33c-c67cd40986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2.xml><?xml version="1.0" encoding="utf-8"?>
<ds:datastoreItem xmlns:ds="http://schemas.openxmlformats.org/officeDocument/2006/customXml" ds:itemID="{88E586F4-1161-42C7-A8E3-E2E58BD44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57d58-e393-48e6-9524-a55f63fa7962"/>
    <ds:schemaRef ds:uri="574a78ac-ba53-4a4c-a33c-c67cd4098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a5057d58-e393-48e6-9524-a55f63fa7962"/>
    <ds:schemaRef ds:uri="574a78ac-ba53-4a4c-a33c-c67cd40986ef"/>
  </ds:schemaRefs>
</ds:datastoreItem>
</file>

<file path=customXml/itemProps4.xml><?xml version="1.0" encoding="utf-8"?>
<ds:datastoreItem xmlns:ds="http://schemas.openxmlformats.org/officeDocument/2006/customXml" ds:itemID="{BFBA4845-0871-47FE-AD8E-2953CCED0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5</Pages>
  <Words>1766</Words>
  <Characters>9820</Characters>
  <Application>Microsoft Office Word</Application>
  <DocSecurity>0</DocSecurity>
  <Lines>239</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11508</CharactersWithSpaces>
  <SharedDoc>false</SharedDoc>
  <HyperlinkBase/>
  <HLinks>
    <vt:vector size="126" baseType="variant">
      <vt:variant>
        <vt:i4>2162735</vt:i4>
      </vt:variant>
      <vt:variant>
        <vt:i4>57</vt:i4>
      </vt:variant>
      <vt:variant>
        <vt:i4>0</vt:i4>
      </vt:variant>
      <vt:variant>
        <vt:i4>5</vt:i4>
      </vt:variant>
      <vt:variant>
        <vt:lpwstr>https://holdings.panasonic/global/</vt:lpwstr>
      </vt:variant>
      <vt:variant>
        <vt:lpwstr/>
      </vt:variant>
      <vt:variant>
        <vt:i4>5177438</vt:i4>
      </vt:variant>
      <vt:variant>
        <vt:i4>54</vt:i4>
      </vt:variant>
      <vt:variant>
        <vt:i4>0</vt:i4>
      </vt:variant>
      <vt:variant>
        <vt:i4>5</vt:i4>
      </vt:variant>
      <vt:variant>
        <vt:lpwstr>http://www.panasonic.com/IFA2022</vt:lpwstr>
      </vt:variant>
      <vt:variant>
        <vt:lpwstr/>
      </vt:variant>
      <vt:variant>
        <vt:i4>6684743</vt:i4>
      </vt:variant>
      <vt:variant>
        <vt:i4>51</vt:i4>
      </vt:variant>
      <vt:variant>
        <vt:i4>0</vt:i4>
      </vt:variant>
      <vt:variant>
        <vt:i4>5</vt:i4>
      </vt:variant>
      <vt:variant>
        <vt:lpwstr>https://www.aircon.panasonic.eu/DE_de/news/new/luftwasser-warmepumpe-klimaanlage-und-brauchwarmwasser-in-einem-system/</vt:lpwstr>
      </vt:variant>
      <vt:variant>
        <vt:lpwstr/>
      </vt:variant>
      <vt:variant>
        <vt:i4>2424944</vt:i4>
      </vt:variant>
      <vt:variant>
        <vt:i4>48</vt:i4>
      </vt:variant>
      <vt:variant>
        <vt:i4>0</vt:i4>
      </vt:variant>
      <vt:variant>
        <vt:i4>5</vt:i4>
      </vt:variant>
      <vt:variant>
        <vt:lpwstr>https://news.panasonic.com/global/press/data/2021/10/en211001-4/en211001-4.html</vt:lpwstr>
      </vt:variant>
      <vt:variant>
        <vt:lpwstr/>
      </vt:variant>
      <vt:variant>
        <vt:i4>7077925</vt:i4>
      </vt:variant>
      <vt:variant>
        <vt:i4>45</vt:i4>
      </vt:variant>
      <vt:variant>
        <vt:i4>0</vt:i4>
      </vt:variant>
      <vt:variant>
        <vt:i4>5</vt:i4>
      </vt:variant>
      <vt:variant>
        <vt:lpwstr>https://www.technics.com/de/presse/pressemeldung/004-fy2022-technics-plattenspieler-sl-1200m7l.html</vt:lpwstr>
      </vt:variant>
      <vt:variant>
        <vt:lpwstr/>
      </vt:variant>
      <vt:variant>
        <vt:i4>917508</vt:i4>
      </vt:variant>
      <vt:variant>
        <vt:i4>42</vt:i4>
      </vt:variant>
      <vt:variant>
        <vt:i4>0</vt:i4>
      </vt:variant>
      <vt:variant>
        <vt:i4>5</vt:i4>
      </vt:variant>
      <vt:variant>
        <vt:lpwstr>https://www.technics.com/de/presse/pressemeldung/024-fy2021-technics-sa-c600.html</vt:lpwstr>
      </vt:variant>
      <vt:variant>
        <vt:lpwstr/>
      </vt:variant>
      <vt:variant>
        <vt:i4>4128810</vt:i4>
      </vt:variant>
      <vt:variant>
        <vt:i4>39</vt:i4>
      </vt:variant>
      <vt:variant>
        <vt:i4>0</vt:i4>
      </vt:variant>
      <vt:variant>
        <vt:i4>5</vt:i4>
      </vt:variant>
      <vt:variant>
        <vt:lpwstr>https://www.technics.com/de/presse/pressemeldung/052-fy2021-technics-eah-a800.html</vt:lpwstr>
      </vt:variant>
      <vt:variant>
        <vt:lpwstr/>
      </vt:variant>
      <vt:variant>
        <vt:i4>6488185</vt:i4>
      </vt:variant>
      <vt:variant>
        <vt:i4>36</vt:i4>
      </vt:variant>
      <vt:variant>
        <vt:i4>0</vt:i4>
      </vt:variant>
      <vt:variant>
        <vt:i4>5</vt:i4>
      </vt:variant>
      <vt:variant>
        <vt:lpwstr>https://www.technics.com/de/presse/pressemeldung/023-fy2021-technics-eah-az60-und-eah-az40.html</vt:lpwstr>
      </vt:variant>
      <vt:variant>
        <vt:lpwstr/>
      </vt:variant>
      <vt:variant>
        <vt:i4>2097279</vt:i4>
      </vt:variant>
      <vt:variant>
        <vt:i4>33</vt:i4>
      </vt:variant>
      <vt:variant>
        <vt:i4>0</vt:i4>
      </vt:variant>
      <vt:variant>
        <vt:i4>5</vt:i4>
      </vt:variant>
      <vt:variant>
        <vt:lpwstr>https://www.panasonic.com/de/corporate/presse/alle-meldungen/056-fy2021-lumix-gh6.html</vt:lpwstr>
      </vt:variant>
      <vt:variant>
        <vt:lpwstr/>
      </vt:variant>
      <vt:variant>
        <vt:i4>1507351</vt:i4>
      </vt:variant>
      <vt:variant>
        <vt:i4>30</vt:i4>
      </vt:variant>
      <vt:variant>
        <vt:i4>0</vt:i4>
      </vt:variant>
      <vt:variant>
        <vt:i4>5</vt:i4>
      </vt:variant>
      <vt:variant>
        <vt:lpwstr>https://www.panasonic.com/de/corporate/presse/alle-meldungen/036_fy2020_panasonic_lumix_s5.html</vt:lpwstr>
      </vt:variant>
      <vt:variant>
        <vt:lpwstr/>
      </vt:variant>
      <vt:variant>
        <vt:i4>5570643</vt:i4>
      </vt:variant>
      <vt:variant>
        <vt:i4>27</vt:i4>
      </vt:variant>
      <vt:variant>
        <vt:i4>0</vt:i4>
      </vt:variant>
      <vt:variant>
        <vt:i4>5</vt:i4>
      </vt:variant>
      <vt:variant>
        <vt:lpwstr>https://www.panasonic.com/de/corporate/presse/alle-meldungen/059-fy2021-panasonic-dampfbackofen-nn-ds59.html</vt:lpwstr>
      </vt:variant>
      <vt:variant>
        <vt:lpwstr/>
      </vt:variant>
      <vt:variant>
        <vt:i4>3604600</vt:i4>
      </vt:variant>
      <vt:variant>
        <vt:i4>24</vt:i4>
      </vt:variant>
      <vt:variant>
        <vt:i4>0</vt:i4>
      </vt:variant>
      <vt:variant>
        <vt:i4>5</vt:i4>
      </vt:variant>
      <vt:variant>
        <vt:lpwstr>https://www.panasonic.com/de/consumer/koerperpflege-gesundheit/mundpflege/mundduschen/ew-dj4b.html</vt:lpwstr>
      </vt:variant>
      <vt:variant>
        <vt:lpwstr/>
      </vt:variant>
      <vt:variant>
        <vt:i4>1900554</vt:i4>
      </vt:variant>
      <vt:variant>
        <vt:i4>21</vt:i4>
      </vt:variant>
      <vt:variant>
        <vt:i4>0</vt:i4>
      </vt:variant>
      <vt:variant>
        <vt:i4>5</vt:i4>
      </vt:variant>
      <vt:variant>
        <vt:lpwstr>https://www.panasonic.com/de/corporate/presse/alle-meldungen/010-fy2022-panasonic-haartrockner-na9j.html</vt:lpwstr>
      </vt:variant>
      <vt:variant>
        <vt:lpwstr/>
      </vt:variant>
      <vt:variant>
        <vt:i4>4390998</vt:i4>
      </vt:variant>
      <vt:variant>
        <vt:i4>18</vt:i4>
      </vt:variant>
      <vt:variant>
        <vt:i4>0</vt:i4>
      </vt:variant>
      <vt:variant>
        <vt:i4>5</vt:i4>
      </vt:variant>
      <vt:variant>
        <vt:lpwstr>https://www.panasonic.com/de/corporate/presse/alle-meldungen/001-fy2022-panasonic-6-klingen-rasierer-series-900.html</vt:lpwstr>
      </vt:variant>
      <vt:variant>
        <vt:lpwstr/>
      </vt:variant>
      <vt:variant>
        <vt:i4>1572894</vt:i4>
      </vt:variant>
      <vt:variant>
        <vt:i4>15</vt:i4>
      </vt:variant>
      <vt:variant>
        <vt:i4>0</vt:i4>
      </vt:variant>
      <vt:variant>
        <vt:i4>5</vt:i4>
      </vt:variant>
      <vt:variant>
        <vt:lpwstr>https://www.panasonic.com/de/corporate/presse/alle-meldungen/009-fy2022-panasonic-multishape.html</vt:lpwstr>
      </vt:variant>
      <vt:variant>
        <vt:lpwstr/>
      </vt:variant>
      <vt:variant>
        <vt:i4>2031679</vt:i4>
      </vt:variant>
      <vt:variant>
        <vt:i4>12</vt:i4>
      </vt:variant>
      <vt:variant>
        <vt:i4>0</vt:i4>
      </vt:variant>
      <vt:variant>
        <vt:i4>5</vt:i4>
      </vt:variant>
      <vt:variant>
        <vt:lpwstr>https://www.aircon.panasonic.eu/DE_de/news/new/panasonic-etherea-raumklimagerate-mit-nanoe-x-in-der-3-generation/</vt:lpwstr>
      </vt:variant>
      <vt:variant>
        <vt:lpwstr/>
      </vt:variant>
      <vt:variant>
        <vt:i4>5111877</vt:i4>
      </vt:variant>
      <vt:variant>
        <vt:i4>9</vt:i4>
      </vt:variant>
      <vt:variant>
        <vt:i4>0</vt:i4>
      </vt:variant>
      <vt:variant>
        <vt:i4>5</vt:i4>
      </vt:variant>
      <vt:variant>
        <vt:lpwstr>https://www.panasonic.com/de/corporate/presse/alle-meldungen/053-fy2020-panasonic-sound-slayer-ces-innovation-award.html</vt:lpwstr>
      </vt:variant>
      <vt:variant>
        <vt:lpwstr/>
      </vt:variant>
      <vt:variant>
        <vt:i4>3342372</vt:i4>
      </vt:variant>
      <vt:variant>
        <vt:i4>6</vt:i4>
      </vt:variant>
      <vt:variant>
        <vt:i4>0</vt:i4>
      </vt:variant>
      <vt:variant>
        <vt:i4>5</vt:i4>
      </vt:variant>
      <vt:variant>
        <vt:lpwstr>https://www.panasonic.com/de/corporate/presse/alle-meldungen/053-fy2021-panasonic-gaming-nacken-lautsprecher-sc-gn01ff.html</vt:lpwstr>
      </vt:variant>
      <vt:variant>
        <vt:lpwstr/>
      </vt:variant>
      <vt:variant>
        <vt:i4>7929977</vt:i4>
      </vt:variant>
      <vt:variant>
        <vt:i4>3</vt:i4>
      </vt:variant>
      <vt:variant>
        <vt:i4>0</vt:i4>
      </vt:variant>
      <vt:variant>
        <vt:i4>5</vt:i4>
      </vt:variant>
      <vt:variant>
        <vt:lpwstr>https://www.panasonic.com/de/corporate/presse/alle-meldungen/054-fy2021-panasonic-oled-tv-lzw2004.html</vt:lpwstr>
      </vt:variant>
      <vt:variant>
        <vt:lpwstr/>
      </vt:variant>
      <vt:variant>
        <vt:i4>4915211</vt:i4>
      </vt:variant>
      <vt:variant>
        <vt:i4>0</vt:i4>
      </vt:variant>
      <vt:variant>
        <vt:i4>0</vt:i4>
      </vt:variant>
      <vt:variant>
        <vt:i4>5</vt:i4>
      </vt:variant>
      <vt:variant>
        <vt:lpwstr>https://www.panasonic.com/de/corporate/presse/alle-meldungen/007-fy2022-tv-lzw2004-lzw1004-lzw944-lxw834.html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Björn Köcher</cp:lastModifiedBy>
  <cp:revision>5</cp:revision>
  <cp:lastPrinted>2019-12-19T22:40:00Z</cp:lastPrinted>
  <dcterms:created xsi:type="dcterms:W3CDTF">2022-08-31T08:45:00Z</dcterms:created>
  <dcterms:modified xsi:type="dcterms:W3CDTF">2022-08-31T08:55:00Z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0x010100857AC9C488B2864A806A3D46583877FA</vt:lpwstr>
  </property>
  <property fmtid="{D5CDD505-2E9C-101B-9397-08002B2CF9AE}" pid="3" name="MediaServiceImageTags">
    <vt:lpwstr/>
  </property>
</Properties>
</file>