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5BE9" w14:textId="36689918" w:rsidR="006B7245" w:rsidRPr="00D31183" w:rsidRDefault="006B7245" w:rsidP="00F56B3E">
      <w:pPr>
        <w:rPr>
          <w:rFonts w:asciiTheme="majorHAnsi" w:hAnsiTheme="majorHAnsi" w:cstheme="majorHAnsi"/>
          <w:b/>
          <w:bCs/>
          <w:sz w:val="28"/>
          <w:szCs w:val="28"/>
          <w:lang w:val="en-US"/>
        </w:rPr>
      </w:pPr>
      <w:r w:rsidRPr="00D31183">
        <w:rPr>
          <w:rFonts w:asciiTheme="majorHAnsi" w:hAnsiTheme="majorHAnsi" w:cstheme="majorHAnsi"/>
          <w:b/>
          <w:bCs/>
          <w:sz w:val="28"/>
          <w:szCs w:val="28"/>
          <w:lang w:val="en-US"/>
        </w:rPr>
        <w:t>Panasonic shows unique solutions to fight climate</w:t>
      </w:r>
      <w:r w:rsidR="003851A8">
        <w:rPr>
          <w:rFonts w:asciiTheme="majorHAnsi" w:hAnsiTheme="majorHAnsi" w:cstheme="majorHAnsi"/>
          <w:b/>
          <w:bCs/>
          <w:sz w:val="28"/>
          <w:szCs w:val="28"/>
          <w:lang w:val="en-US"/>
        </w:rPr>
        <w:t xml:space="preserve"> change</w:t>
      </w:r>
      <w:r w:rsidRPr="00D31183">
        <w:rPr>
          <w:rFonts w:ascii="DIN-Medium" w:hAnsi="DIN-Medium"/>
          <w:sz w:val="32"/>
          <w:szCs w:val="24"/>
          <w:lang w:val="en-US"/>
        </w:rPr>
        <w:t xml:space="preserve"> </w:t>
      </w:r>
    </w:p>
    <w:p w14:paraId="56552D60" w14:textId="77777777" w:rsidR="006B7245" w:rsidRPr="006B7245" w:rsidRDefault="006B7245" w:rsidP="006B7245">
      <w:pPr>
        <w:rPr>
          <w:rFonts w:asciiTheme="majorHAnsi" w:hAnsiTheme="majorHAnsi" w:cstheme="majorHAnsi"/>
          <w:b/>
          <w:bCs/>
          <w:sz w:val="24"/>
          <w:szCs w:val="24"/>
          <w:lang w:val="en-US"/>
        </w:rPr>
      </w:pPr>
      <w:r w:rsidRPr="006B7245">
        <w:rPr>
          <w:rFonts w:asciiTheme="majorHAnsi" w:hAnsiTheme="majorHAnsi" w:cstheme="majorHAnsi"/>
          <w:b/>
          <w:bCs/>
          <w:sz w:val="24"/>
          <w:szCs w:val="24"/>
          <w:lang w:val="en-US"/>
        </w:rPr>
        <w:t>IFA 2022: Panasonic to showcase solutions for CO</w:t>
      </w:r>
      <w:r w:rsidRPr="006B7245">
        <w:rPr>
          <w:rFonts w:asciiTheme="majorHAnsi" w:hAnsiTheme="majorHAnsi" w:cstheme="majorHAnsi"/>
          <w:b/>
          <w:bCs/>
          <w:sz w:val="24"/>
          <w:szCs w:val="24"/>
          <w:vertAlign w:val="subscript"/>
          <w:lang w:val="en-US"/>
        </w:rPr>
        <w:t>2</w:t>
      </w:r>
      <w:r w:rsidRPr="006B7245">
        <w:rPr>
          <w:rFonts w:asciiTheme="majorHAnsi" w:hAnsiTheme="majorHAnsi" w:cstheme="majorHAnsi"/>
          <w:b/>
          <w:bCs/>
          <w:sz w:val="24"/>
          <w:szCs w:val="24"/>
          <w:lang w:val="en-US"/>
        </w:rPr>
        <w:t xml:space="preserve"> footprint reduction of individuals and businesses while highlighting technologies &amp; projects for its own carbon neutrality by 2030 </w:t>
      </w:r>
    </w:p>
    <w:p w14:paraId="1061772B" w14:textId="0B582FDA" w:rsidR="00745A4D" w:rsidRPr="00F5466D" w:rsidRDefault="00745A4D" w:rsidP="00F5466D">
      <w:pPr>
        <w:tabs>
          <w:tab w:val="left" w:pos="5900"/>
        </w:tabs>
        <w:rPr>
          <w:rFonts w:ascii="Arial" w:hAnsi="Arial" w:cs="Arial"/>
          <w:b/>
          <w:sz w:val="24"/>
          <w:szCs w:val="24"/>
          <w:lang w:val="en-US"/>
        </w:rPr>
      </w:pPr>
    </w:p>
    <w:p w14:paraId="2551ACC6" w14:textId="24EE43E7" w:rsidR="00D31183" w:rsidRDefault="00535DD8" w:rsidP="00D31183">
      <w:pPr>
        <w:ind w:firstLine="284"/>
        <w:rPr>
          <w:rFonts w:asciiTheme="majorHAnsi" w:hAnsiTheme="majorHAnsi" w:cstheme="majorHAnsi"/>
          <w:lang w:val="en-US"/>
        </w:rPr>
      </w:pPr>
      <w:r w:rsidRPr="00186D37">
        <w:rPr>
          <w:b/>
          <w:bCs/>
          <w:iCs/>
          <w:lang w:val="en-US"/>
        </w:rPr>
        <w:t>Wiesbaden</w:t>
      </w:r>
      <w:r w:rsidR="00470574" w:rsidRPr="00186D37">
        <w:rPr>
          <w:b/>
          <w:bCs/>
          <w:iCs/>
          <w:lang w:val="en-US"/>
        </w:rPr>
        <w:t xml:space="preserve">, </w:t>
      </w:r>
      <w:r w:rsidRPr="00186D37">
        <w:rPr>
          <w:b/>
          <w:bCs/>
          <w:iCs/>
          <w:lang w:val="en-US"/>
        </w:rPr>
        <w:t>Germany</w:t>
      </w:r>
      <w:r w:rsidR="00B93DCF" w:rsidRPr="00186D37">
        <w:rPr>
          <w:b/>
          <w:bCs/>
          <w:iCs/>
          <w:lang w:val="en-US"/>
        </w:rPr>
        <w:t xml:space="preserve">, </w:t>
      </w:r>
      <w:r w:rsidRPr="00186D37">
        <w:rPr>
          <w:b/>
          <w:bCs/>
          <w:iCs/>
          <w:lang w:val="en-US"/>
        </w:rPr>
        <w:t>20</w:t>
      </w:r>
      <w:r w:rsidR="00721A51" w:rsidRPr="00186D37">
        <w:rPr>
          <w:b/>
          <w:bCs/>
          <w:iCs/>
          <w:lang w:val="en-US"/>
        </w:rPr>
        <w:t>2</w:t>
      </w:r>
      <w:r w:rsidR="00803CD4" w:rsidRPr="00186D37">
        <w:rPr>
          <w:b/>
          <w:bCs/>
          <w:iCs/>
          <w:lang w:val="en-US"/>
        </w:rPr>
        <w:t>2</w:t>
      </w:r>
      <w:r w:rsidRPr="00186D37">
        <w:rPr>
          <w:b/>
          <w:bCs/>
          <w:iCs/>
          <w:lang w:val="en-US"/>
        </w:rPr>
        <w:t>/</w:t>
      </w:r>
      <w:r w:rsidR="00803CD4" w:rsidRPr="00186D37">
        <w:rPr>
          <w:b/>
          <w:bCs/>
          <w:iCs/>
          <w:lang w:val="en-US"/>
        </w:rPr>
        <w:t>0</w:t>
      </w:r>
      <w:r w:rsidR="006811C7" w:rsidRPr="00186D37">
        <w:rPr>
          <w:b/>
          <w:bCs/>
          <w:iCs/>
          <w:lang w:val="en-US"/>
        </w:rPr>
        <w:t>8</w:t>
      </w:r>
      <w:r w:rsidRPr="00186D37">
        <w:rPr>
          <w:b/>
          <w:bCs/>
          <w:iCs/>
          <w:lang w:val="en-US"/>
        </w:rPr>
        <w:t>/</w:t>
      </w:r>
      <w:r w:rsidR="006811C7" w:rsidRPr="00186D37">
        <w:rPr>
          <w:b/>
          <w:bCs/>
          <w:iCs/>
          <w:lang w:val="en-US"/>
        </w:rPr>
        <w:t>31</w:t>
      </w:r>
      <w:r w:rsidR="00E055D2" w:rsidRPr="00186D37">
        <w:rPr>
          <w:b/>
          <w:bCs/>
          <w:iCs/>
          <w:lang w:val="en-US"/>
        </w:rPr>
        <w:t xml:space="preserve"> –</w:t>
      </w:r>
      <w:r w:rsidR="00E055D2" w:rsidRPr="00186D37">
        <w:rPr>
          <w:lang w:val="en-US"/>
        </w:rPr>
        <w:t xml:space="preserve"> </w:t>
      </w:r>
      <w:bookmarkStart w:id="0" w:name="_Hlk69993112"/>
      <w:r w:rsidR="006B7245" w:rsidRPr="006B7245">
        <w:rPr>
          <w:rFonts w:asciiTheme="majorHAnsi" w:hAnsiTheme="majorHAnsi" w:cstheme="majorHAnsi"/>
          <w:lang w:val="en-US"/>
        </w:rPr>
        <w:t xml:space="preserve">At IFA 2022, Panasonic will be presenting not only its latest consumer electronics products, but also the company's comprehensive and concrete solutions to fight one of today’s most serious societal issues, climate change. With its </w:t>
      </w:r>
      <w:r w:rsidR="00E44800">
        <w:rPr>
          <w:rFonts w:asciiTheme="majorHAnsi" w:hAnsiTheme="majorHAnsi" w:cstheme="majorHAnsi"/>
          <w:lang w:val="en-US"/>
        </w:rPr>
        <w:t>GREEN IMPACT</w:t>
      </w:r>
      <w:r w:rsidR="006B7245" w:rsidRPr="006B7245">
        <w:rPr>
          <w:rFonts w:asciiTheme="majorHAnsi" w:hAnsiTheme="majorHAnsi" w:cstheme="majorHAnsi"/>
          <w:lang w:val="en-US"/>
        </w:rPr>
        <w:t xml:space="preserve"> Plan (GIP), Panasonic aims to make a fundamental contribution to tackle environmental issues, with a specific focus on massive carbon reductions and circular economy. Panasonic's commitment to sustainability with its two focal points carbon neutrality and circular economy is also evident at the new IFA booth in hall "HUB27"</w:t>
      </w:r>
      <w:r w:rsidR="00583A83" w:rsidRPr="00583A83">
        <w:rPr>
          <w:rFonts w:asciiTheme="majorHAnsi" w:hAnsiTheme="majorHAnsi" w:cstheme="majorHAnsi"/>
          <w:lang w:val="en-US"/>
        </w:rPr>
        <w:t>, which covers more than 5,000 square meters</w:t>
      </w:r>
      <w:r w:rsidR="006B7245" w:rsidRPr="006B7245">
        <w:rPr>
          <w:rFonts w:asciiTheme="majorHAnsi" w:hAnsiTheme="majorHAnsi" w:cstheme="majorHAnsi"/>
          <w:lang w:val="en-US"/>
        </w:rPr>
        <w:t xml:space="preserve">. </w:t>
      </w:r>
    </w:p>
    <w:p w14:paraId="52421EAE" w14:textId="5C430A68" w:rsidR="00756350" w:rsidRPr="00D31183" w:rsidRDefault="006B7245" w:rsidP="00915B3F">
      <w:pPr>
        <w:ind w:firstLine="284"/>
        <w:rPr>
          <w:rFonts w:asciiTheme="majorHAnsi" w:hAnsiTheme="majorHAnsi" w:cstheme="majorHAnsi"/>
          <w:lang w:val="en-US"/>
        </w:rPr>
      </w:pPr>
      <w:r w:rsidRPr="006B7245">
        <w:rPr>
          <w:rFonts w:asciiTheme="majorHAnsi" w:hAnsiTheme="majorHAnsi" w:cstheme="majorHAnsi"/>
          <w:lang w:val="en-US"/>
        </w:rPr>
        <w:t xml:space="preserve">In the "Central Area" of the new booth, Panasonic presents those sustainability pilot projects and energy technologies that support the </w:t>
      </w:r>
      <w:r w:rsidR="00583A83" w:rsidRPr="006B7245">
        <w:rPr>
          <w:rFonts w:asciiTheme="majorHAnsi" w:hAnsiTheme="majorHAnsi" w:cstheme="majorHAnsi"/>
          <w:lang w:val="en-US"/>
        </w:rPr>
        <w:t>decarboni</w:t>
      </w:r>
      <w:r w:rsidR="00D31183">
        <w:rPr>
          <w:rFonts w:asciiTheme="majorHAnsi" w:hAnsiTheme="majorHAnsi" w:cstheme="majorHAnsi"/>
          <w:lang w:val="en-US"/>
        </w:rPr>
        <w:t>s</w:t>
      </w:r>
      <w:r w:rsidR="00583A83" w:rsidRPr="006B7245">
        <w:rPr>
          <w:rFonts w:asciiTheme="majorHAnsi" w:hAnsiTheme="majorHAnsi" w:cstheme="majorHAnsi"/>
          <w:lang w:val="en-US"/>
        </w:rPr>
        <w:t>ation</w:t>
      </w:r>
      <w:r w:rsidRPr="006B7245">
        <w:rPr>
          <w:rFonts w:asciiTheme="majorHAnsi" w:hAnsiTheme="majorHAnsi" w:cstheme="majorHAnsi"/>
          <w:lang w:val="en-US"/>
        </w:rPr>
        <w:t xml:space="preserve"> of society and help to solve additional environmental issues of our planet. </w:t>
      </w:r>
      <w:r w:rsidR="00915B3F" w:rsidRPr="00915B3F">
        <w:rPr>
          <w:rFonts w:asciiTheme="majorHAnsi" w:hAnsiTheme="majorHAnsi" w:cstheme="majorHAnsi"/>
          <w:lang w:val="en-US"/>
        </w:rPr>
        <w:t>With an aim to significantly reduce its carbon footprint, the booth concept and design have all been newly developed resulting in a total reduction of 140 tons of CO</w:t>
      </w:r>
      <w:r w:rsidR="00915B3F" w:rsidRPr="00915B3F">
        <w:rPr>
          <w:rFonts w:asciiTheme="majorHAnsi" w:hAnsiTheme="majorHAnsi" w:cstheme="majorHAnsi"/>
          <w:vertAlign w:val="subscript"/>
          <w:lang w:val="en-US"/>
        </w:rPr>
        <w:t>2</w:t>
      </w:r>
      <w:r w:rsidR="00915B3F" w:rsidRPr="00915B3F">
        <w:rPr>
          <w:rFonts w:asciiTheme="majorHAnsi" w:hAnsiTheme="majorHAnsi" w:cstheme="majorHAnsi"/>
          <w:lang w:val="en-US"/>
        </w:rPr>
        <w:t xml:space="preserve"> emissions in comparison to 2019, or a 71% reduction in emissions. These savings have been made through the careful selection of materials, the way products are presented and the walls decorated. 140 tons of saved and avoided emissions, as</w:t>
      </w:r>
      <w:r w:rsidR="00915B3F">
        <w:rPr>
          <w:rFonts w:asciiTheme="majorHAnsi" w:hAnsiTheme="majorHAnsi" w:cstheme="majorHAnsi"/>
          <w:lang w:val="en-US"/>
        </w:rPr>
        <w:t xml:space="preserve"> </w:t>
      </w:r>
      <w:r w:rsidR="00915B3F" w:rsidRPr="00915B3F">
        <w:rPr>
          <w:rFonts w:asciiTheme="majorHAnsi" w:hAnsiTheme="majorHAnsi" w:cstheme="majorHAnsi"/>
          <w:lang w:val="en-US"/>
        </w:rPr>
        <w:t>calculations according to the GHG (Green House Gas) Protocol show, are equivalent to the CO</w:t>
      </w:r>
      <w:r w:rsidR="00915B3F" w:rsidRPr="00915B3F">
        <w:rPr>
          <w:rFonts w:asciiTheme="majorHAnsi" w:hAnsiTheme="majorHAnsi" w:cstheme="majorHAnsi"/>
          <w:vertAlign w:val="subscript"/>
          <w:lang w:val="en-US"/>
        </w:rPr>
        <w:t>2</w:t>
      </w:r>
      <w:r w:rsidR="00915B3F" w:rsidRPr="00915B3F">
        <w:rPr>
          <w:rFonts w:asciiTheme="majorHAnsi" w:hAnsiTheme="majorHAnsi" w:cstheme="majorHAnsi"/>
          <w:lang w:val="en-US"/>
        </w:rPr>
        <w:t xml:space="preserve"> emissions of a mid-sized combustion car travelling approximately 1 million kilometers.</w:t>
      </w:r>
    </w:p>
    <w:bookmarkEnd w:id="0"/>
    <w:p w14:paraId="73DB9361" w14:textId="5DF77329" w:rsidR="00F56B3E" w:rsidRDefault="007F3E2F" w:rsidP="007F3E2F">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w:t>
      </w:r>
      <w:r w:rsidRPr="007F3E2F">
        <w:rPr>
          <w:rFonts w:asciiTheme="majorHAnsi" w:hAnsiTheme="majorHAnsi" w:cstheme="majorHAnsi"/>
          <w:lang w:val="en-US"/>
        </w:rPr>
        <w:t>Europe is very advanced in acting on sustainability and therefore is a key region to spearhead our environmental agenda. To embed the sustainability mission into our business strategy,</w:t>
      </w:r>
      <w:r>
        <w:rPr>
          <w:rFonts w:asciiTheme="majorHAnsi" w:hAnsiTheme="majorHAnsi" w:cstheme="majorHAnsi"/>
          <w:lang w:val="en-US"/>
        </w:rPr>
        <w:t xml:space="preserve"> the</w:t>
      </w:r>
      <w:r w:rsidRPr="007F3E2F">
        <w:rPr>
          <w:rFonts w:asciiTheme="majorHAnsi" w:hAnsiTheme="majorHAnsi" w:cstheme="majorHAnsi"/>
          <w:lang w:val="en-US"/>
        </w:rPr>
        <w:t xml:space="preserve"> Panasonic Group has launched </w:t>
      </w:r>
      <w:r w:rsidR="001C585E">
        <w:rPr>
          <w:rFonts w:asciiTheme="majorHAnsi" w:hAnsiTheme="majorHAnsi" w:cstheme="majorHAnsi"/>
          <w:lang w:val="en-US"/>
        </w:rPr>
        <w:t>‘</w:t>
      </w:r>
      <w:r w:rsidR="00FE091F">
        <w:rPr>
          <w:rFonts w:asciiTheme="majorHAnsi" w:hAnsiTheme="majorHAnsi" w:cstheme="majorHAnsi"/>
          <w:lang w:val="en-US"/>
        </w:rPr>
        <w:t>GREEN IMPACT</w:t>
      </w:r>
      <w:r w:rsidR="001C585E">
        <w:rPr>
          <w:rFonts w:asciiTheme="majorHAnsi" w:hAnsiTheme="majorHAnsi" w:cstheme="majorHAnsi"/>
          <w:lang w:val="en-US"/>
        </w:rPr>
        <w:t>’</w:t>
      </w:r>
      <w:r w:rsidRPr="007F3E2F">
        <w:rPr>
          <w:rFonts w:asciiTheme="majorHAnsi" w:hAnsiTheme="majorHAnsi" w:cstheme="majorHAnsi"/>
          <w:lang w:val="en-US"/>
        </w:rPr>
        <w:t xml:space="preserve">, a strategic vision which outlines our commitment and actions to </w:t>
      </w:r>
      <w:r w:rsidR="001C585E">
        <w:rPr>
          <w:rFonts w:asciiTheme="majorHAnsi" w:hAnsiTheme="majorHAnsi" w:cstheme="majorHAnsi"/>
          <w:lang w:val="en-US"/>
        </w:rPr>
        <w:t>‘</w:t>
      </w:r>
      <w:r w:rsidRPr="007F3E2F">
        <w:rPr>
          <w:rFonts w:asciiTheme="majorHAnsi" w:hAnsiTheme="majorHAnsi" w:cstheme="majorHAnsi"/>
          <w:lang w:val="en-US"/>
        </w:rPr>
        <w:t>Net Zero</w:t>
      </w:r>
      <w:r w:rsidR="001C585E">
        <w:rPr>
          <w:rFonts w:asciiTheme="majorHAnsi" w:hAnsiTheme="majorHAnsi" w:cstheme="majorHAnsi"/>
          <w:lang w:val="en-US"/>
        </w:rPr>
        <w:t>’</w:t>
      </w:r>
      <w:r w:rsidRPr="007F3E2F">
        <w:rPr>
          <w:rFonts w:asciiTheme="majorHAnsi" w:hAnsiTheme="majorHAnsi" w:cstheme="majorHAnsi"/>
          <w:lang w:val="en-US"/>
        </w:rPr>
        <w:t xml:space="preserve"> by 2050</w:t>
      </w:r>
      <w:r w:rsidR="001C585E">
        <w:rPr>
          <w:rFonts w:asciiTheme="majorHAnsi" w:hAnsiTheme="majorHAnsi" w:cstheme="majorHAnsi"/>
          <w:lang w:val="en-US"/>
        </w:rPr>
        <w:t>”</w:t>
      </w:r>
      <w:r w:rsidR="006B7245" w:rsidRPr="006B7245">
        <w:rPr>
          <w:rFonts w:asciiTheme="majorHAnsi" w:hAnsiTheme="majorHAnsi" w:cstheme="majorHAnsi"/>
          <w:lang w:val="en-US"/>
        </w:rPr>
        <w:t xml:space="preserve">, explains Masahiro </w:t>
      </w:r>
      <w:proofErr w:type="spellStart"/>
      <w:r w:rsidR="006B7245" w:rsidRPr="006B7245">
        <w:rPr>
          <w:rFonts w:asciiTheme="majorHAnsi" w:hAnsiTheme="majorHAnsi" w:cstheme="majorHAnsi"/>
          <w:lang w:val="en-US"/>
        </w:rPr>
        <w:t>Shinada</w:t>
      </w:r>
      <w:proofErr w:type="spellEnd"/>
      <w:r w:rsidR="006B7245" w:rsidRPr="006B7245">
        <w:rPr>
          <w:rFonts w:asciiTheme="majorHAnsi" w:hAnsiTheme="majorHAnsi" w:cstheme="majorHAnsi"/>
          <w:lang w:val="en-US"/>
        </w:rPr>
        <w:t>, President and CEO Panasonic Corporation.</w:t>
      </w:r>
    </w:p>
    <w:p w14:paraId="21316844" w14:textId="5E91D61D" w:rsidR="007F3E2F" w:rsidRDefault="007F3E2F" w:rsidP="002C0305">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At Panasonic’s IFA booth, some solutions and pilot projects </w:t>
      </w:r>
      <w:r w:rsidR="00C359E6">
        <w:rPr>
          <w:rFonts w:asciiTheme="majorHAnsi" w:hAnsiTheme="majorHAnsi" w:cstheme="majorHAnsi"/>
          <w:lang w:val="en-US"/>
        </w:rPr>
        <w:t>–</w:t>
      </w:r>
      <w:r>
        <w:rPr>
          <w:rFonts w:asciiTheme="majorHAnsi" w:hAnsiTheme="majorHAnsi" w:cstheme="majorHAnsi"/>
          <w:lang w:val="en-US"/>
        </w:rPr>
        <w:t xml:space="preserve"> which already today </w:t>
      </w:r>
      <w:r w:rsidR="00E44800">
        <w:rPr>
          <w:rFonts w:asciiTheme="majorHAnsi" w:hAnsiTheme="majorHAnsi" w:cstheme="majorHAnsi"/>
          <w:lang w:val="en-US"/>
        </w:rPr>
        <w:t xml:space="preserve">make </w:t>
      </w:r>
      <w:r>
        <w:rPr>
          <w:rFonts w:asciiTheme="majorHAnsi" w:hAnsiTheme="majorHAnsi" w:cstheme="majorHAnsi"/>
          <w:lang w:val="en-US"/>
        </w:rPr>
        <w:t xml:space="preserve">a </w:t>
      </w:r>
      <w:r w:rsidR="00E44800">
        <w:rPr>
          <w:rFonts w:asciiTheme="majorHAnsi" w:hAnsiTheme="majorHAnsi" w:cstheme="majorHAnsi"/>
          <w:lang w:val="en-US"/>
        </w:rPr>
        <w:t xml:space="preserve">green impact </w:t>
      </w:r>
      <w:r w:rsidR="00C359E6">
        <w:rPr>
          <w:rFonts w:asciiTheme="majorHAnsi" w:hAnsiTheme="majorHAnsi" w:cstheme="majorHAnsi"/>
          <w:lang w:val="en-US"/>
        </w:rPr>
        <w:t>–</w:t>
      </w:r>
      <w:r>
        <w:rPr>
          <w:rFonts w:asciiTheme="majorHAnsi" w:hAnsiTheme="majorHAnsi" w:cstheme="majorHAnsi"/>
          <w:lang w:val="en-US"/>
        </w:rPr>
        <w:t xml:space="preserve"> will be exhibited. </w:t>
      </w:r>
    </w:p>
    <w:p w14:paraId="206CD3A4" w14:textId="77777777" w:rsidR="00C359E6" w:rsidRPr="00583A83" w:rsidRDefault="00C359E6" w:rsidP="002C0305">
      <w:pPr>
        <w:autoSpaceDE w:val="0"/>
        <w:autoSpaceDN w:val="0"/>
        <w:adjustRightInd w:val="0"/>
        <w:rPr>
          <w:rFonts w:asciiTheme="majorHAnsi" w:hAnsiTheme="majorHAnsi" w:cstheme="majorHAnsi"/>
          <w:lang w:val="en-US"/>
        </w:rPr>
      </w:pPr>
    </w:p>
    <w:p w14:paraId="34C065B8" w14:textId="77777777" w:rsidR="006B7245" w:rsidRPr="006B7245" w:rsidRDefault="006B7245" w:rsidP="006B7245">
      <w:pPr>
        <w:autoSpaceDE w:val="0"/>
        <w:autoSpaceDN w:val="0"/>
        <w:adjustRightInd w:val="0"/>
        <w:rPr>
          <w:rFonts w:asciiTheme="majorHAnsi" w:hAnsiTheme="majorHAnsi" w:cstheme="majorHAnsi"/>
          <w:b/>
          <w:bCs/>
          <w:lang w:val="en-US"/>
        </w:rPr>
      </w:pPr>
      <w:r w:rsidRPr="006B7245">
        <w:rPr>
          <w:rFonts w:asciiTheme="majorHAnsi" w:hAnsiTheme="majorHAnsi" w:cstheme="majorHAnsi"/>
          <w:b/>
          <w:bCs/>
          <w:lang w:val="en-US"/>
        </w:rPr>
        <w:lastRenderedPageBreak/>
        <w:t>Carbon neutrality: green and affordable heating</w:t>
      </w:r>
    </w:p>
    <w:p w14:paraId="14DFE529" w14:textId="06399681" w:rsidR="002B0C51" w:rsidRPr="002B0C51" w:rsidRDefault="002B0C51" w:rsidP="002B0C51">
      <w:pPr>
        <w:autoSpaceDE w:val="0"/>
        <w:autoSpaceDN w:val="0"/>
        <w:adjustRightInd w:val="0"/>
        <w:ind w:firstLine="284"/>
        <w:rPr>
          <w:rFonts w:asciiTheme="majorHAnsi" w:hAnsiTheme="majorHAnsi" w:cstheme="majorHAnsi"/>
          <w:lang w:val="en-US"/>
        </w:rPr>
      </w:pPr>
      <w:r w:rsidRPr="002B0C51">
        <w:rPr>
          <w:rFonts w:asciiTheme="majorHAnsi" w:hAnsiTheme="majorHAnsi" w:cstheme="majorHAnsi"/>
          <w:lang w:val="en-US"/>
        </w:rPr>
        <w:t xml:space="preserve">Sustainable and affordable heating and cooling solutions for private homes, offices and diverse commercial spaces are increasingly required. With the new </w:t>
      </w:r>
      <w:hyperlink r:id="rId11" w:history="1">
        <w:proofErr w:type="spellStart"/>
        <w:r w:rsidRPr="001C0854">
          <w:rPr>
            <w:rStyle w:val="Hyperlink"/>
            <w:rFonts w:asciiTheme="majorHAnsi" w:eastAsiaTheme="minorEastAsia" w:hAnsiTheme="majorHAnsi" w:cstheme="majorHAnsi"/>
            <w:lang w:val="en-US"/>
          </w:rPr>
          <w:t>Aquarea</w:t>
        </w:r>
        <w:proofErr w:type="spellEnd"/>
        <w:r w:rsidRPr="001C0854">
          <w:rPr>
            <w:rStyle w:val="Hyperlink"/>
            <w:rFonts w:asciiTheme="majorHAnsi" w:eastAsiaTheme="minorEastAsia" w:hAnsiTheme="majorHAnsi" w:cstheme="majorHAnsi"/>
            <w:lang w:val="en-US"/>
          </w:rPr>
          <w:t xml:space="preserve"> </w:t>
        </w:r>
        <w:proofErr w:type="spellStart"/>
        <w:r w:rsidRPr="001C0854">
          <w:rPr>
            <w:rStyle w:val="Hyperlink"/>
            <w:rFonts w:asciiTheme="majorHAnsi" w:eastAsiaTheme="minorEastAsia" w:hAnsiTheme="majorHAnsi" w:cstheme="majorHAnsi"/>
            <w:lang w:val="en-US"/>
          </w:rPr>
          <w:t>EcoFleX</w:t>
        </w:r>
        <w:proofErr w:type="spellEnd"/>
        <w:r w:rsidRPr="001C0854">
          <w:rPr>
            <w:rStyle w:val="Hyperlink"/>
            <w:rFonts w:asciiTheme="majorHAnsi" w:eastAsiaTheme="minorEastAsia" w:hAnsiTheme="majorHAnsi" w:cstheme="majorHAnsi"/>
            <w:lang w:val="en-US"/>
          </w:rPr>
          <w:t xml:space="preserve"> system</w:t>
        </w:r>
      </w:hyperlink>
      <w:r w:rsidRPr="002B0C51">
        <w:rPr>
          <w:rFonts w:asciiTheme="majorHAnsi" w:hAnsiTheme="majorHAnsi" w:cstheme="majorHAnsi"/>
          <w:lang w:val="en-US"/>
        </w:rPr>
        <w:t xml:space="preserve">, Panasonic connects an air ducted unit with nanoe™ X technology and an air-to-water Aquarea heat pump – or in other words, it combines air conditioning with air purification. The innovative hybrid system provides energy-efficient space heating, space cooling, cleaner air and hot water heat recovery. Equipped with Panasonic's patented nanoe™ X technology also inhibits five types of pollutants, including certain bacteria and viruses, as well as </w:t>
      </w:r>
      <w:proofErr w:type="spellStart"/>
      <w:r w:rsidRPr="002B0C51">
        <w:rPr>
          <w:rFonts w:asciiTheme="majorHAnsi" w:hAnsiTheme="majorHAnsi" w:cstheme="majorHAnsi"/>
          <w:lang w:val="en-US"/>
        </w:rPr>
        <w:t>odours</w:t>
      </w:r>
      <w:proofErr w:type="spellEnd"/>
      <w:r w:rsidRPr="002B0C51">
        <w:rPr>
          <w:rFonts w:asciiTheme="majorHAnsi" w:hAnsiTheme="majorHAnsi" w:cstheme="majorHAnsi"/>
          <w:lang w:val="en-US"/>
        </w:rPr>
        <w:t xml:space="preserve">, ensuring a perfectly climatized ambience and cleaner air, all of which contribute to improved spatial wellbeing. </w:t>
      </w:r>
    </w:p>
    <w:p w14:paraId="1C39F7B1" w14:textId="12F32D46" w:rsidR="00C359E6" w:rsidRPr="00C359E6" w:rsidRDefault="002B0C51" w:rsidP="006B7245">
      <w:pPr>
        <w:autoSpaceDE w:val="0"/>
        <w:autoSpaceDN w:val="0"/>
        <w:adjustRightInd w:val="0"/>
        <w:rPr>
          <w:rFonts w:asciiTheme="majorHAnsi" w:hAnsiTheme="majorHAnsi" w:cstheme="majorHAnsi"/>
          <w:lang w:val="en-US"/>
        </w:rPr>
      </w:pPr>
      <w:r w:rsidRPr="002B0C51">
        <w:rPr>
          <w:rFonts w:asciiTheme="majorHAnsi" w:hAnsiTheme="majorHAnsi" w:cstheme="majorHAnsi"/>
          <w:lang w:val="en-US"/>
        </w:rPr>
        <w:t xml:space="preserve">The </w:t>
      </w:r>
      <w:proofErr w:type="spellStart"/>
      <w:r w:rsidRPr="002B0C51">
        <w:rPr>
          <w:rFonts w:asciiTheme="majorHAnsi" w:hAnsiTheme="majorHAnsi" w:cstheme="majorHAnsi"/>
          <w:lang w:val="en-US"/>
        </w:rPr>
        <w:t>Aquarea</w:t>
      </w:r>
      <w:proofErr w:type="spellEnd"/>
      <w:r w:rsidRPr="002B0C51">
        <w:rPr>
          <w:rFonts w:asciiTheme="majorHAnsi" w:hAnsiTheme="majorHAnsi" w:cstheme="majorHAnsi"/>
          <w:lang w:val="en-US"/>
        </w:rPr>
        <w:t xml:space="preserve"> </w:t>
      </w:r>
      <w:proofErr w:type="spellStart"/>
      <w:r w:rsidRPr="002B0C51">
        <w:rPr>
          <w:rFonts w:asciiTheme="majorHAnsi" w:hAnsiTheme="majorHAnsi" w:cstheme="majorHAnsi"/>
          <w:lang w:val="en-US"/>
        </w:rPr>
        <w:t>EcoFleX</w:t>
      </w:r>
      <w:proofErr w:type="spellEnd"/>
      <w:r w:rsidRPr="002B0C51">
        <w:rPr>
          <w:rFonts w:asciiTheme="majorHAnsi" w:hAnsiTheme="majorHAnsi" w:cstheme="majorHAnsi"/>
          <w:lang w:val="en-US"/>
        </w:rPr>
        <w:t xml:space="preserve"> control system is equipped with Wi-Fi as standard with adapters included for instant connectivity via Panasonic</w:t>
      </w:r>
      <w:r w:rsidR="0067196F">
        <w:rPr>
          <w:rFonts w:asciiTheme="majorHAnsi" w:hAnsiTheme="majorHAnsi" w:cstheme="majorHAnsi"/>
          <w:lang w:val="en-US"/>
        </w:rPr>
        <w:t>’s</w:t>
      </w:r>
      <w:r w:rsidRPr="002B0C51">
        <w:rPr>
          <w:rFonts w:asciiTheme="majorHAnsi" w:hAnsiTheme="majorHAnsi" w:cstheme="majorHAnsi"/>
          <w:lang w:val="en-US"/>
        </w:rPr>
        <w:t xml:space="preserve"> Comfort Cloud App which enables intelligent control and continuous monitoring of energy consumption by the user. A remote maintenance monitoring system, Aquarea Service Cloud, allows the service technician or the installer to look at the heat pump system before any downtime occurs. When operated with green electricity, Aquarea air-to-water heat pumps create virtually no CO</w:t>
      </w:r>
      <w:r w:rsidRPr="001C0854">
        <w:rPr>
          <w:rFonts w:asciiTheme="majorHAnsi" w:hAnsiTheme="majorHAnsi" w:cstheme="majorHAnsi"/>
          <w:vertAlign w:val="subscript"/>
          <w:lang w:val="en-US"/>
        </w:rPr>
        <w:t>2</w:t>
      </w:r>
      <w:r w:rsidRPr="002B0C51">
        <w:rPr>
          <w:rFonts w:asciiTheme="majorHAnsi" w:hAnsiTheme="majorHAnsi" w:cstheme="majorHAnsi"/>
          <w:lang w:val="en-US"/>
        </w:rPr>
        <w:t xml:space="preserve"> emissions during operations, as up to 80% of the required heat energy is taken from ambient air. The </w:t>
      </w:r>
      <w:proofErr w:type="spellStart"/>
      <w:r w:rsidRPr="002B0C51">
        <w:rPr>
          <w:rFonts w:asciiTheme="majorHAnsi" w:hAnsiTheme="majorHAnsi" w:cstheme="majorHAnsi"/>
          <w:lang w:val="en-US"/>
        </w:rPr>
        <w:t>Aquarea</w:t>
      </w:r>
      <w:proofErr w:type="spellEnd"/>
      <w:r w:rsidRPr="002B0C51">
        <w:rPr>
          <w:rFonts w:asciiTheme="majorHAnsi" w:hAnsiTheme="majorHAnsi" w:cstheme="majorHAnsi"/>
          <w:lang w:val="en-US"/>
        </w:rPr>
        <w:t xml:space="preserve"> </w:t>
      </w:r>
      <w:proofErr w:type="spellStart"/>
      <w:r w:rsidRPr="002B0C51">
        <w:rPr>
          <w:rFonts w:asciiTheme="majorHAnsi" w:hAnsiTheme="majorHAnsi" w:cstheme="majorHAnsi"/>
          <w:lang w:val="en-US"/>
        </w:rPr>
        <w:t>EcoFleX</w:t>
      </w:r>
      <w:proofErr w:type="spellEnd"/>
      <w:r w:rsidRPr="002B0C51">
        <w:rPr>
          <w:rFonts w:asciiTheme="majorHAnsi" w:hAnsiTheme="majorHAnsi" w:cstheme="majorHAnsi"/>
          <w:lang w:val="en-US"/>
        </w:rPr>
        <w:t xml:space="preserve"> system is thus one of the highlights </w:t>
      </w:r>
      <w:r w:rsidR="0067196F">
        <w:rPr>
          <w:rFonts w:asciiTheme="majorHAnsi" w:hAnsiTheme="majorHAnsi" w:cstheme="majorHAnsi"/>
          <w:lang w:val="en-US"/>
        </w:rPr>
        <w:t>of</w:t>
      </w:r>
      <w:r w:rsidR="0067196F" w:rsidRPr="002B0C51">
        <w:rPr>
          <w:rFonts w:asciiTheme="majorHAnsi" w:hAnsiTheme="majorHAnsi" w:cstheme="majorHAnsi"/>
          <w:lang w:val="en-US"/>
        </w:rPr>
        <w:t xml:space="preserve"> </w:t>
      </w:r>
      <w:r w:rsidRPr="002B0C51">
        <w:rPr>
          <w:rFonts w:asciiTheme="majorHAnsi" w:hAnsiTheme="majorHAnsi" w:cstheme="majorHAnsi"/>
          <w:lang w:val="en-US"/>
        </w:rPr>
        <w:t>Panasonic's energy solutions for heating and cooling.</w:t>
      </w:r>
    </w:p>
    <w:p w14:paraId="7D0256DA" w14:textId="1FDB7D8F" w:rsidR="006B7245" w:rsidRPr="006B7245" w:rsidRDefault="006B7245" w:rsidP="006B7245">
      <w:pPr>
        <w:autoSpaceDE w:val="0"/>
        <w:autoSpaceDN w:val="0"/>
        <w:adjustRightInd w:val="0"/>
        <w:rPr>
          <w:rFonts w:asciiTheme="majorHAnsi" w:hAnsiTheme="majorHAnsi" w:cstheme="majorHAnsi"/>
          <w:b/>
          <w:bCs/>
          <w:lang w:val="en-US"/>
        </w:rPr>
      </w:pPr>
      <w:r w:rsidRPr="006B7245">
        <w:rPr>
          <w:rFonts w:asciiTheme="majorHAnsi" w:hAnsiTheme="majorHAnsi" w:cstheme="majorHAnsi"/>
          <w:b/>
          <w:bCs/>
          <w:lang w:val="en-US"/>
        </w:rPr>
        <w:t xml:space="preserve">Carbon </w:t>
      </w:r>
      <w:r w:rsidR="005E6330">
        <w:rPr>
          <w:rFonts w:asciiTheme="majorHAnsi" w:hAnsiTheme="majorHAnsi" w:cstheme="majorHAnsi"/>
          <w:b/>
          <w:bCs/>
          <w:lang w:val="en-US"/>
        </w:rPr>
        <w:t>reduction</w:t>
      </w:r>
      <w:r w:rsidRPr="006B7245">
        <w:rPr>
          <w:rFonts w:asciiTheme="majorHAnsi" w:hAnsiTheme="majorHAnsi" w:cstheme="majorHAnsi"/>
          <w:b/>
          <w:bCs/>
          <w:lang w:val="en-US"/>
        </w:rPr>
        <w:t>: less dependence on fossil energy and fewer CO</w:t>
      </w:r>
      <w:r w:rsidRPr="006B7245">
        <w:rPr>
          <w:rFonts w:asciiTheme="majorHAnsi" w:hAnsiTheme="majorHAnsi" w:cstheme="majorHAnsi"/>
          <w:b/>
          <w:bCs/>
          <w:vertAlign w:val="subscript"/>
          <w:lang w:val="en-US"/>
        </w:rPr>
        <w:t>2</w:t>
      </w:r>
      <w:r w:rsidRPr="006B7245">
        <w:rPr>
          <w:rFonts w:asciiTheme="majorHAnsi" w:hAnsiTheme="majorHAnsi" w:cstheme="majorHAnsi"/>
          <w:b/>
          <w:bCs/>
          <w:lang w:val="en-US"/>
        </w:rPr>
        <w:t xml:space="preserve"> emissions</w:t>
      </w:r>
    </w:p>
    <w:p w14:paraId="5BD78854" w14:textId="18BD64C3" w:rsidR="003D1DE4" w:rsidRDefault="006B7245" w:rsidP="00FE6138">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 xml:space="preserve">A special highlight from the Energy Products and Solutions section in the Central Area at Panasonic's IFA 2022 booth will be </w:t>
      </w:r>
      <w:r w:rsidR="00B845A4">
        <w:rPr>
          <w:rFonts w:asciiTheme="majorHAnsi" w:hAnsiTheme="majorHAnsi" w:cstheme="majorHAnsi"/>
          <w:lang w:val="en-US"/>
        </w:rPr>
        <w:t xml:space="preserve">the </w:t>
      </w:r>
      <w:hyperlink r:id="rId12" w:history="1">
        <w:r w:rsidR="003D1DE4" w:rsidRPr="006B7245">
          <w:rPr>
            <w:rStyle w:val="Hyperlink"/>
            <w:rFonts w:asciiTheme="majorHAnsi" w:hAnsiTheme="majorHAnsi" w:cstheme="majorHAnsi"/>
            <w:lang w:val="en-US"/>
          </w:rPr>
          <w:t>Pure Hydrogen Fuel Cell Generator</w:t>
        </w:r>
      </w:hyperlink>
      <w:r w:rsidRPr="006B7245">
        <w:rPr>
          <w:rFonts w:asciiTheme="majorHAnsi" w:hAnsiTheme="majorHAnsi" w:cstheme="majorHAnsi"/>
          <w:lang w:val="en-US"/>
        </w:rPr>
        <w:t xml:space="preserve">. It can be operated by green hydrogen. </w:t>
      </w:r>
      <w:r w:rsidR="003D1DE4" w:rsidRPr="003D1DE4">
        <w:rPr>
          <w:rFonts w:asciiTheme="majorHAnsi" w:hAnsiTheme="majorHAnsi" w:cstheme="majorHAnsi"/>
          <w:lang w:val="en-US"/>
        </w:rPr>
        <w:t xml:space="preserve">In general, </w:t>
      </w:r>
      <w:r w:rsidR="003D1DE4" w:rsidRPr="002C0305">
        <w:rPr>
          <w:rFonts w:asciiTheme="majorHAnsi" w:hAnsiTheme="majorHAnsi" w:cstheme="majorHAnsi"/>
          <w:lang w:val="en-US"/>
        </w:rPr>
        <w:t>g</w:t>
      </w:r>
      <w:r w:rsidRPr="002C0305">
        <w:rPr>
          <w:rFonts w:asciiTheme="majorHAnsi" w:hAnsiTheme="majorHAnsi" w:cstheme="majorHAnsi"/>
          <w:lang w:val="en-US"/>
        </w:rPr>
        <w:t>reen hydrogen is generated by separating water (H</w:t>
      </w:r>
      <w:r w:rsidRPr="001C0854">
        <w:rPr>
          <w:rFonts w:asciiTheme="majorHAnsi" w:hAnsiTheme="majorHAnsi" w:cstheme="majorHAnsi"/>
          <w:vertAlign w:val="subscript"/>
          <w:lang w:val="en-US"/>
        </w:rPr>
        <w:t>2</w:t>
      </w:r>
      <w:r w:rsidRPr="002C0305">
        <w:rPr>
          <w:rFonts w:asciiTheme="majorHAnsi" w:hAnsiTheme="majorHAnsi" w:cstheme="majorHAnsi"/>
          <w:lang w:val="en-US"/>
        </w:rPr>
        <w:t>O) molecules into hydrogen (H</w:t>
      </w:r>
      <w:r w:rsidRPr="001C0854">
        <w:rPr>
          <w:rFonts w:asciiTheme="majorHAnsi" w:hAnsiTheme="majorHAnsi" w:cstheme="majorHAnsi"/>
          <w:vertAlign w:val="subscript"/>
          <w:lang w:val="en-US"/>
        </w:rPr>
        <w:t>2</w:t>
      </w:r>
      <w:r w:rsidRPr="002C0305">
        <w:rPr>
          <w:rFonts w:asciiTheme="majorHAnsi" w:hAnsiTheme="majorHAnsi" w:cstheme="majorHAnsi"/>
          <w:lang w:val="en-US"/>
        </w:rPr>
        <w:t>) and oxygen (O</w:t>
      </w:r>
      <w:r w:rsidRPr="001C0854">
        <w:rPr>
          <w:rFonts w:asciiTheme="majorHAnsi" w:hAnsiTheme="majorHAnsi" w:cstheme="majorHAnsi"/>
          <w:vertAlign w:val="subscript"/>
          <w:lang w:val="en-US"/>
        </w:rPr>
        <w:t>2</w:t>
      </w:r>
      <w:r w:rsidRPr="002C0305">
        <w:rPr>
          <w:rFonts w:asciiTheme="majorHAnsi" w:hAnsiTheme="majorHAnsi" w:cstheme="majorHAnsi"/>
          <w:lang w:val="en-US"/>
        </w:rPr>
        <w:t>). To do so, surplus energy from renewables (photovoltaic panels or windmills) is be</w:t>
      </w:r>
      <w:r w:rsidR="00703819" w:rsidRPr="002C0305">
        <w:rPr>
          <w:rFonts w:asciiTheme="majorHAnsi" w:hAnsiTheme="majorHAnsi" w:cstheme="majorHAnsi"/>
          <w:lang w:val="en-US"/>
        </w:rPr>
        <w:t>ing</w:t>
      </w:r>
      <w:r w:rsidRPr="002C0305">
        <w:rPr>
          <w:rFonts w:asciiTheme="majorHAnsi" w:hAnsiTheme="majorHAnsi" w:cstheme="majorHAnsi"/>
          <w:lang w:val="en-US"/>
        </w:rPr>
        <w:t xml:space="preserve"> used.</w:t>
      </w:r>
      <w:r w:rsidRPr="006B7245">
        <w:rPr>
          <w:rFonts w:asciiTheme="majorHAnsi" w:hAnsiTheme="majorHAnsi" w:cstheme="majorHAnsi"/>
          <w:lang w:val="en-US"/>
        </w:rPr>
        <w:t xml:space="preserve"> </w:t>
      </w:r>
    </w:p>
    <w:p w14:paraId="4C5D4051" w14:textId="2569550F" w:rsidR="006B7245" w:rsidRPr="006B7245" w:rsidRDefault="006B7245" w:rsidP="00FE6138">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 xml:space="preserve">A single </w:t>
      </w:r>
      <w:r w:rsidR="003D1DE4">
        <w:rPr>
          <w:rFonts w:asciiTheme="majorHAnsi" w:hAnsiTheme="majorHAnsi" w:cstheme="majorHAnsi"/>
          <w:lang w:val="en-US"/>
        </w:rPr>
        <w:t xml:space="preserve">Panasonic pure hydrogen </w:t>
      </w:r>
      <w:r w:rsidR="005E6330">
        <w:rPr>
          <w:rFonts w:asciiTheme="majorHAnsi" w:hAnsiTheme="majorHAnsi" w:cstheme="majorHAnsi"/>
          <w:lang w:val="en-US"/>
        </w:rPr>
        <w:t xml:space="preserve">fuel cell </w:t>
      </w:r>
      <w:r w:rsidRPr="006B7245">
        <w:rPr>
          <w:rFonts w:asciiTheme="majorHAnsi" w:hAnsiTheme="majorHAnsi" w:cstheme="majorHAnsi"/>
          <w:lang w:val="en-US"/>
        </w:rPr>
        <w:t xml:space="preserve">unit can generate up to 5 kW of electricity, which is suitable for the demand of small-scale commercial facilities. Moreover, connecting and controlling multiple </w:t>
      </w:r>
      <w:r w:rsidR="005E6330">
        <w:rPr>
          <w:rFonts w:asciiTheme="majorHAnsi" w:hAnsiTheme="majorHAnsi" w:cstheme="majorHAnsi"/>
          <w:lang w:val="en-US"/>
        </w:rPr>
        <w:t>fuel cell</w:t>
      </w:r>
      <w:r w:rsidRPr="006B7245">
        <w:rPr>
          <w:rFonts w:asciiTheme="majorHAnsi" w:hAnsiTheme="majorHAnsi" w:cstheme="majorHAnsi"/>
          <w:lang w:val="en-US"/>
        </w:rPr>
        <w:t xml:space="preserve"> units can increase the power output according to demand. The system is already in commercial use in Japan and is expected to be introduced into Europe once infrastructural conditions and the availability of pure hydrogen are assured. </w:t>
      </w:r>
    </w:p>
    <w:p w14:paraId="75CA545F" w14:textId="37D1C385" w:rsidR="00BD438A" w:rsidRPr="006B7245" w:rsidRDefault="006B7245" w:rsidP="00C359E6">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99 units of such innovative pure hydrogen fuel cell system</w:t>
      </w:r>
      <w:r w:rsidR="00AD2313">
        <w:rPr>
          <w:rFonts w:asciiTheme="majorHAnsi" w:hAnsiTheme="majorHAnsi" w:cstheme="majorHAnsi"/>
          <w:lang w:val="en-US"/>
        </w:rPr>
        <w:t>s</w:t>
      </w:r>
      <w:r w:rsidRPr="006B7245">
        <w:rPr>
          <w:rFonts w:asciiTheme="majorHAnsi" w:hAnsiTheme="majorHAnsi" w:cstheme="majorHAnsi"/>
          <w:lang w:val="en-US"/>
        </w:rPr>
        <w:t xml:space="preserve"> are part of the </w:t>
      </w:r>
      <w:hyperlink r:id="rId13" w:history="1">
        <w:r w:rsidR="003D1DE4" w:rsidRPr="006B7245">
          <w:rPr>
            <w:rStyle w:val="Hyperlink"/>
            <w:rFonts w:asciiTheme="majorHAnsi" w:hAnsiTheme="majorHAnsi" w:cstheme="majorHAnsi"/>
            <w:lang w:val="en-US"/>
          </w:rPr>
          <w:t>piloting facility</w:t>
        </w:r>
      </w:hyperlink>
      <w:r w:rsidRPr="006B7245">
        <w:rPr>
          <w:rFonts w:asciiTheme="majorHAnsi" w:hAnsiTheme="majorHAnsi" w:cstheme="majorHAnsi"/>
          <w:lang w:val="en-US"/>
        </w:rPr>
        <w:t xml:space="preserve"> which started in April 2022 at a Panasonic factory in </w:t>
      </w:r>
      <w:r w:rsidRPr="006B7245">
        <w:rPr>
          <w:rFonts w:asciiTheme="majorHAnsi" w:hAnsiTheme="majorHAnsi" w:cstheme="majorHAnsi"/>
          <w:lang w:val="en-US"/>
        </w:rPr>
        <w:lastRenderedPageBreak/>
        <w:t xml:space="preserve">Japan. 100 percent of the power used for site operations is aimed to be generated from renewable resources. </w:t>
      </w:r>
      <w:bookmarkStart w:id="1" w:name="_Hlk112347370"/>
      <w:r w:rsidRPr="00BD438A">
        <w:rPr>
          <w:rFonts w:asciiTheme="majorHAnsi" w:hAnsiTheme="majorHAnsi" w:cstheme="majorHAnsi"/>
          <w:lang w:val="en-US"/>
        </w:rPr>
        <w:t xml:space="preserve">The </w:t>
      </w:r>
      <w:r w:rsidR="00BD438A" w:rsidRPr="00BD438A">
        <w:rPr>
          <w:rFonts w:asciiTheme="majorHAnsi" w:hAnsiTheme="majorHAnsi" w:cstheme="majorHAnsi"/>
          <w:lang w:val="en-US"/>
        </w:rPr>
        <w:t>“</w:t>
      </w:r>
      <w:r w:rsidRPr="00BD438A">
        <w:rPr>
          <w:rFonts w:asciiTheme="majorHAnsi" w:hAnsiTheme="majorHAnsi" w:cstheme="majorHAnsi"/>
          <w:lang w:val="en-US"/>
        </w:rPr>
        <w:t>RE100</w:t>
      </w:r>
      <w:r w:rsidR="00BD438A" w:rsidRPr="00BD438A">
        <w:rPr>
          <w:rFonts w:asciiTheme="majorHAnsi" w:hAnsiTheme="majorHAnsi" w:cstheme="majorHAnsi"/>
          <w:lang w:val="en-US"/>
        </w:rPr>
        <w:t>”</w:t>
      </w:r>
      <w:r w:rsidRPr="00BD438A">
        <w:rPr>
          <w:rFonts w:asciiTheme="majorHAnsi" w:hAnsiTheme="majorHAnsi" w:cstheme="majorHAnsi"/>
          <w:lang w:val="en-US"/>
        </w:rPr>
        <w:t xml:space="preserve"> (Renewable Energy 100%) facility </w:t>
      </w:r>
      <w:bookmarkEnd w:id="1"/>
      <w:r w:rsidRPr="00BD438A">
        <w:rPr>
          <w:rFonts w:asciiTheme="majorHAnsi" w:hAnsiTheme="majorHAnsi" w:cstheme="majorHAnsi"/>
          <w:lang w:val="en-US"/>
        </w:rPr>
        <w:t>is part of a self-sustaining power system that combines generation from both pure hydrogen and photovoltaic panels as well as some</w:t>
      </w:r>
      <w:r w:rsidRPr="006B7245">
        <w:rPr>
          <w:rFonts w:asciiTheme="majorHAnsi" w:hAnsiTheme="majorHAnsi" w:cstheme="majorHAnsi"/>
          <w:lang w:val="en-US"/>
        </w:rPr>
        <w:t xml:space="preserve"> battery storage. Such kind of green energy autonomy for manufacturing sites is very unique worldwide. Panasonic has received already lots of inquiries from private industry sectors as well as governments being interested in such</w:t>
      </w:r>
      <w:r w:rsidR="00AD2313">
        <w:rPr>
          <w:rFonts w:asciiTheme="majorHAnsi" w:hAnsiTheme="majorHAnsi" w:cstheme="majorHAnsi"/>
          <w:lang w:val="en-US"/>
        </w:rPr>
        <w:t xml:space="preserve"> a</w:t>
      </w:r>
      <w:r w:rsidRPr="006B7245">
        <w:rPr>
          <w:rFonts w:asciiTheme="majorHAnsi" w:hAnsiTheme="majorHAnsi" w:cstheme="majorHAnsi"/>
          <w:lang w:val="en-US"/>
        </w:rPr>
        <w:t xml:space="preserve"> set-up.</w:t>
      </w:r>
    </w:p>
    <w:p w14:paraId="76074B9F" w14:textId="21C51AC3" w:rsidR="006B7245" w:rsidRPr="006B7245" w:rsidRDefault="006B7245" w:rsidP="006B7245">
      <w:pPr>
        <w:autoSpaceDE w:val="0"/>
        <w:autoSpaceDN w:val="0"/>
        <w:adjustRightInd w:val="0"/>
        <w:rPr>
          <w:rFonts w:asciiTheme="majorHAnsi" w:hAnsiTheme="majorHAnsi" w:cstheme="majorHAnsi"/>
          <w:b/>
          <w:bCs/>
          <w:lang w:val="en-US"/>
        </w:rPr>
      </w:pPr>
      <w:r w:rsidRPr="00BD438A">
        <w:rPr>
          <w:rFonts w:asciiTheme="majorHAnsi" w:hAnsiTheme="majorHAnsi" w:cstheme="majorHAnsi"/>
          <w:b/>
          <w:bCs/>
          <w:lang w:val="en-US"/>
        </w:rPr>
        <w:t>Circular economy: new design thinking to extend the life of our products</w:t>
      </w:r>
    </w:p>
    <w:p w14:paraId="71AFC2E4" w14:textId="1689DEEA" w:rsidR="006B7245" w:rsidRPr="006B7245" w:rsidRDefault="006B7245" w:rsidP="00FE6138">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 xml:space="preserve">Panasonic approaches the issue of creating a circular economy from various angles. Particularly important for Panasonic is to change its design </w:t>
      </w:r>
      <w:r w:rsidRPr="00BD438A">
        <w:rPr>
          <w:rFonts w:asciiTheme="majorHAnsi" w:hAnsiTheme="majorHAnsi" w:cstheme="majorHAnsi"/>
          <w:lang w:val="en-US"/>
        </w:rPr>
        <w:t>thinking</w:t>
      </w:r>
      <w:r w:rsidRPr="006B7245">
        <w:rPr>
          <w:rFonts w:asciiTheme="majorHAnsi" w:hAnsiTheme="majorHAnsi" w:cstheme="majorHAnsi"/>
          <w:lang w:val="en-US"/>
        </w:rPr>
        <w:t xml:space="preserve"> to extend </w:t>
      </w:r>
      <w:r w:rsidRPr="00ED1D86">
        <w:rPr>
          <w:rFonts w:asciiTheme="majorHAnsi" w:hAnsiTheme="majorHAnsi" w:cstheme="majorHAnsi"/>
          <w:lang w:val="en-US"/>
        </w:rPr>
        <w:t>the life</w:t>
      </w:r>
      <w:r w:rsidR="00261B1D">
        <w:rPr>
          <w:rFonts w:asciiTheme="majorHAnsi" w:hAnsiTheme="majorHAnsi" w:cstheme="majorHAnsi"/>
          <w:lang w:val="en-US"/>
        </w:rPr>
        <w:t>time</w:t>
      </w:r>
      <w:r w:rsidR="005C38CB">
        <w:rPr>
          <w:rFonts w:asciiTheme="majorHAnsi" w:hAnsiTheme="majorHAnsi" w:cstheme="majorHAnsi"/>
          <w:lang w:val="en-US"/>
        </w:rPr>
        <w:t xml:space="preserve"> </w:t>
      </w:r>
      <w:r w:rsidRPr="00ED1D86">
        <w:rPr>
          <w:rFonts w:asciiTheme="majorHAnsi" w:hAnsiTheme="majorHAnsi" w:cstheme="majorHAnsi"/>
          <w:lang w:val="en-US"/>
        </w:rPr>
        <w:t xml:space="preserve">of </w:t>
      </w:r>
      <w:r w:rsidR="00AD2313">
        <w:rPr>
          <w:rFonts w:asciiTheme="majorHAnsi" w:hAnsiTheme="majorHAnsi" w:cstheme="majorHAnsi"/>
          <w:lang w:val="en-US"/>
        </w:rPr>
        <w:t>its</w:t>
      </w:r>
      <w:r w:rsidR="00AD2313" w:rsidRPr="00ED1D86">
        <w:rPr>
          <w:rFonts w:asciiTheme="majorHAnsi" w:hAnsiTheme="majorHAnsi" w:cstheme="majorHAnsi"/>
          <w:lang w:val="en-US"/>
        </w:rPr>
        <w:t xml:space="preserve"> </w:t>
      </w:r>
      <w:r w:rsidRPr="00ED1D86">
        <w:rPr>
          <w:rFonts w:asciiTheme="majorHAnsi" w:hAnsiTheme="majorHAnsi" w:cstheme="majorHAnsi"/>
          <w:lang w:val="en-US"/>
        </w:rPr>
        <w:t>products.</w:t>
      </w:r>
      <w:r w:rsidRPr="006B7245">
        <w:rPr>
          <w:rFonts w:asciiTheme="majorHAnsi" w:hAnsiTheme="majorHAnsi" w:cstheme="majorHAnsi"/>
          <w:lang w:val="en-US"/>
        </w:rPr>
        <w:t xml:space="preserve"> One brand new product, which was launched in Europe in July this year, really embodies this thinking: the </w:t>
      </w:r>
      <w:hyperlink r:id="rId14" w:history="1">
        <w:r w:rsidRPr="006B7245">
          <w:rPr>
            <w:rStyle w:val="Hyperlink"/>
            <w:rFonts w:asciiTheme="majorHAnsi" w:hAnsiTheme="majorHAnsi" w:cstheme="majorHAnsi"/>
            <w:lang w:val="en-US"/>
          </w:rPr>
          <w:t>MULTISHAPE modular personal grooming device</w:t>
        </w:r>
      </w:hyperlink>
      <w:r w:rsidRPr="006B7245">
        <w:rPr>
          <w:rFonts w:asciiTheme="majorHAnsi" w:hAnsiTheme="majorHAnsi" w:cstheme="majorHAnsi"/>
          <w:lang w:val="en-US"/>
        </w:rPr>
        <w:t xml:space="preserve">. The product is made with a modular design and includes interchangeable heads, enabling five different types of personal grooming by attaching a shaver, trimmer, toothbrush, and other attachments. </w:t>
      </w:r>
    </w:p>
    <w:p w14:paraId="7ED4A0C2" w14:textId="161C82B7" w:rsidR="006B7245" w:rsidRPr="006B7245" w:rsidRDefault="006B7245" w:rsidP="006B7245">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 xml:space="preserve">The modular design eliminates the need for a motor, rechargeable battery, and adapter for each product, saving about </w:t>
      </w:r>
      <w:r w:rsidRPr="00ED1D86">
        <w:rPr>
          <w:rFonts w:asciiTheme="majorHAnsi" w:hAnsiTheme="majorHAnsi" w:cstheme="majorHAnsi"/>
          <w:lang w:val="en-US"/>
        </w:rPr>
        <w:t>60% of resources</w:t>
      </w:r>
      <w:r w:rsidRPr="006B7245">
        <w:rPr>
          <w:rFonts w:asciiTheme="majorHAnsi" w:hAnsiTheme="majorHAnsi" w:cstheme="majorHAnsi"/>
          <w:lang w:val="en-US"/>
        </w:rPr>
        <w:t xml:space="preserve"> compared to conventional product design. The modular design also means </w:t>
      </w:r>
      <w:r w:rsidR="00ED1D86" w:rsidRPr="00BD438A">
        <w:rPr>
          <w:rFonts w:asciiTheme="majorHAnsi" w:hAnsiTheme="majorHAnsi" w:cstheme="majorHAnsi"/>
          <w:lang w:val="en-US"/>
        </w:rPr>
        <w:t>the users themselves</w:t>
      </w:r>
      <w:r w:rsidR="00ED1D86" w:rsidRPr="00ED1D86">
        <w:rPr>
          <w:rFonts w:asciiTheme="majorHAnsi" w:hAnsiTheme="majorHAnsi" w:cstheme="majorHAnsi"/>
          <w:lang w:val="en-US"/>
        </w:rPr>
        <w:t xml:space="preserve"> </w:t>
      </w:r>
      <w:r w:rsidRPr="00ED1D86">
        <w:rPr>
          <w:rFonts w:asciiTheme="majorHAnsi" w:hAnsiTheme="majorHAnsi" w:cstheme="majorHAnsi"/>
          <w:lang w:val="en-US"/>
        </w:rPr>
        <w:t>can replace individual parts i</w:t>
      </w:r>
      <w:r w:rsidR="00ED1D86" w:rsidRPr="00BD438A">
        <w:rPr>
          <w:rFonts w:asciiTheme="majorHAnsi" w:hAnsiTheme="majorHAnsi" w:cstheme="majorHAnsi"/>
          <w:lang w:val="en-US"/>
        </w:rPr>
        <w:t>n the unlikely case</w:t>
      </w:r>
      <w:r w:rsidRPr="00ED1D86">
        <w:rPr>
          <w:rFonts w:asciiTheme="majorHAnsi" w:hAnsiTheme="majorHAnsi" w:cstheme="majorHAnsi"/>
          <w:lang w:val="en-US"/>
        </w:rPr>
        <w:t xml:space="preserve"> they break</w:t>
      </w:r>
      <w:r w:rsidR="007F0432">
        <w:rPr>
          <w:rFonts w:asciiTheme="majorHAnsi" w:hAnsiTheme="majorHAnsi" w:cstheme="majorHAnsi"/>
          <w:lang w:val="en-US"/>
        </w:rPr>
        <w:t>,</w:t>
      </w:r>
      <w:r w:rsidRPr="006B7245">
        <w:rPr>
          <w:rFonts w:asciiTheme="majorHAnsi" w:hAnsiTheme="majorHAnsi" w:cstheme="majorHAnsi"/>
          <w:lang w:val="en-US"/>
        </w:rPr>
        <w:t xml:space="preserve"> and the product itself can be used for a long time. Starting with </w:t>
      </w:r>
      <w:r w:rsidRPr="00BD438A">
        <w:rPr>
          <w:rFonts w:asciiTheme="majorHAnsi" w:hAnsiTheme="majorHAnsi" w:cstheme="majorHAnsi"/>
          <w:lang w:val="en-US"/>
        </w:rPr>
        <w:t xml:space="preserve">personal care products in Europe, Panasonic will gradually adopt this circular </w:t>
      </w:r>
      <w:r w:rsidR="005C38CB" w:rsidRPr="00BD438A">
        <w:rPr>
          <w:rFonts w:asciiTheme="majorHAnsi" w:hAnsiTheme="majorHAnsi" w:cstheme="majorHAnsi"/>
          <w:lang w:val="en-US"/>
        </w:rPr>
        <w:t>economy-based</w:t>
      </w:r>
      <w:r w:rsidR="00261B1D">
        <w:rPr>
          <w:rFonts w:asciiTheme="majorHAnsi" w:hAnsiTheme="majorHAnsi" w:cstheme="majorHAnsi"/>
          <w:lang w:val="en-US"/>
        </w:rPr>
        <w:t xml:space="preserve"> </w:t>
      </w:r>
      <w:r w:rsidRPr="00BD438A">
        <w:rPr>
          <w:rFonts w:asciiTheme="majorHAnsi" w:hAnsiTheme="majorHAnsi" w:cstheme="majorHAnsi"/>
          <w:lang w:val="en-US"/>
        </w:rPr>
        <w:t xml:space="preserve">design </w:t>
      </w:r>
      <w:r w:rsidR="008D7288">
        <w:rPr>
          <w:rFonts w:asciiTheme="majorHAnsi" w:hAnsiTheme="majorHAnsi" w:cstheme="majorHAnsi"/>
          <w:lang w:val="en-US"/>
        </w:rPr>
        <w:t>philosophy</w:t>
      </w:r>
      <w:r w:rsidR="008D7288" w:rsidRPr="002C0305">
        <w:rPr>
          <w:rFonts w:asciiTheme="majorHAnsi" w:hAnsiTheme="majorHAnsi" w:cstheme="majorHAnsi"/>
          <w:lang w:val="en-US"/>
        </w:rPr>
        <w:t xml:space="preserve"> </w:t>
      </w:r>
      <w:r w:rsidRPr="002C0305">
        <w:rPr>
          <w:rFonts w:asciiTheme="majorHAnsi" w:hAnsiTheme="majorHAnsi" w:cstheme="majorHAnsi"/>
          <w:lang w:val="en-US"/>
        </w:rPr>
        <w:t>and expand it to other regions and products.</w:t>
      </w:r>
    </w:p>
    <w:p w14:paraId="768080B3" w14:textId="33E7187B" w:rsidR="006B7245" w:rsidRPr="006B7245" w:rsidRDefault="006B7245" w:rsidP="006B7245">
      <w:pPr>
        <w:autoSpaceDE w:val="0"/>
        <w:autoSpaceDN w:val="0"/>
        <w:adjustRightInd w:val="0"/>
        <w:rPr>
          <w:rFonts w:asciiTheme="majorHAnsi" w:hAnsiTheme="majorHAnsi" w:cstheme="majorHAnsi"/>
          <w:b/>
          <w:bCs/>
          <w:lang w:val="en-US"/>
        </w:rPr>
      </w:pPr>
      <w:r w:rsidRPr="006B7245">
        <w:rPr>
          <w:rFonts w:asciiTheme="majorHAnsi" w:hAnsiTheme="majorHAnsi" w:cstheme="majorHAnsi"/>
          <w:b/>
          <w:bCs/>
          <w:lang w:val="en-US"/>
        </w:rPr>
        <w:t xml:space="preserve">Panasonic </w:t>
      </w:r>
      <w:r w:rsidR="00E44800">
        <w:rPr>
          <w:rFonts w:asciiTheme="majorHAnsi" w:hAnsiTheme="majorHAnsi" w:cstheme="majorHAnsi"/>
          <w:b/>
          <w:bCs/>
          <w:lang w:val="en-US"/>
        </w:rPr>
        <w:t>GREEN</w:t>
      </w:r>
      <w:r w:rsidR="00E44800" w:rsidRPr="006B7245">
        <w:rPr>
          <w:rFonts w:asciiTheme="majorHAnsi" w:hAnsiTheme="majorHAnsi" w:cstheme="majorHAnsi"/>
          <w:b/>
          <w:bCs/>
          <w:lang w:val="en-US"/>
        </w:rPr>
        <w:t xml:space="preserve"> </w:t>
      </w:r>
      <w:r w:rsidR="00E44800">
        <w:rPr>
          <w:rFonts w:asciiTheme="majorHAnsi" w:hAnsiTheme="majorHAnsi" w:cstheme="majorHAnsi"/>
          <w:b/>
          <w:bCs/>
          <w:lang w:val="en-US"/>
        </w:rPr>
        <w:t>IMAPCT</w:t>
      </w:r>
      <w:r w:rsidRPr="006B7245">
        <w:rPr>
          <w:rFonts w:asciiTheme="majorHAnsi" w:hAnsiTheme="majorHAnsi" w:cstheme="majorHAnsi"/>
          <w:b/>
          <w:bCs/>
          <w:lang w:val="en-US"/>
        </w:rPr>
        <w:t>: sustainability as a core of Panasonic’s activities</w:t>
      </w:r>
    </w:p>
    <w:p w14:paraId="480DB52B" w14:textId="1C73E88D" w:rsidR="006B7245" w:rsidRPr="006B7245" w:rsidRDefault="006B7245" w:rsidP="00FE6138">
      <w:pPr>
        <w:autoSpaceDE w:val="0"/>
        <w:autoSpaceDN w:val="0"/>
        <w:adjustRightInd w:val="0"/>
        <w:ind w:firstLine="284"/>
        <w:rPr>
          <w:rFonts w:asciiTheme="majorHAnsi" w:hAnsiTheme="majorHAnsi" w:cstheme="majorHAnsi"/>
          <w:lang w:val="en-US"/>
        </w:rPr>
      </w:pPr>
      <w:r w:rsidRPr="006B7245">
        <w:rPr>
          <w:rFonts w:asciiTheme="majorHAnsi" w:hAnsiTheme="majorHAnsi" w:cstheme="majorHAnsi"/>
          <w:lang w:val="en-US"/>
        </w:rPr>
        <w:t xml:space="preserve">Panasonic </w:t>
      </w:r>
      <w:r w:rsidR="001451F1" w:rsidRPr="002C0305">
        <w:rPr>
          <w:rFonts w:asciiTheme="majorHAnsi" w:hAnsiTheme="majorHAnsi" w:cstheme="majorHAnsi"/>
          <w:lang w:val="en-US"/>
        </w:rPr>
        <w:t>Group</w:t>
      </w:r>
      <w:r w:rsidR="001451F1">
        <w:rPr>
          <w:rFonts w:asciiTheme="majorHAnsi" w:hAnsiTheme="majorHAnsi" w:cstheme="majorHAnsi"/>
          <w:lang w:val="en-US"/>
        </w:rPr>
        <w:t xml:space="preserve"> </w:t>
      </w:r>
      <w:r w:rsidRPr="006B7245">
        <w:rPr>
          <w:rFonts w:asciiTheme="majorHAnsi" w:hAnsiTheme="majorHAnsi" w:cstheme="majorHAnsi"/>
          <w:lang w:val="en-US"/>
        </w:rPr>
        <w:t xml:space="preserve">has made clear commitments </w:t>
      </w:r>
      <w:r w:rsidR="00CC7CBB">
        <w:rPr>
          <w:rFonts w:asciiTheme="majorHAnsi" w:hAnsiTheme="majorHAnsi" w:cstheme="majorHAnsi"/>
          <w:lang w:val="en-US"/>
        </w:rPr>
        <w:t xml:space="preserve">to </w:t>
      </w:r>
      <w:r w:rsidRPr="006B7245">
        <w:rPr>
          <w:rFonts w:asciiTheme="majorHAnsi" w:hAnsiTheme="majorHAnsi" w:cstheme="majorHAnsi"/>
          <w:lang w:val="en-US"/>
        </w:rPr>
        <w:t>reducing CO</w:t>
      </w:r>
      <w:r w:rsidRPr="006B7245">
        <w:rPr>
          <w:rFonts w:asciiTheme="majorHAnsi" w:hAnsiTheme="majorHAnsi" w:cstheme="majorHAnsi"/>
          <w:vertAlign w:val="subscript"/>
          <w:lang w:val="en-US"/>
        </w:rPr>
        <w:t>2</w:t>
      </w:r>
      <w:r w:rsidRPr="006B7245">
        <w:rPr>
          <w:rFonts w:asciiTheme="majorHAnsi" w:hAnsiTheme="majorHAnsi" w:cstheme="majorHAnsi"/>
          <w:lang w:val="en-US"/>
        </w:rPr>
        <w:t xml:space="preserve"> emissions from its own operations to zero by 2030, and achieving a total of over 300 million tons</w:t>
      </w:r>
      <w:r w:rsidRPr="006B7245">
        <w:rPr>
          <w:rFonts w:asciiTheme="majorHAnsi" w:hAnsiTheme="majorHAnsi" w:cstheme="majorHAnsi"/>
          <w:vertAlign w:val="superscript"/>
          <w:lang w:val="en-US"/>
        </w:rPr>
        <w:t>1</w:t>
      </w:r>
      <w:r w:rsidRPr="006B7245">
        <w:rPr>
          <w:rFonts w:asciiTheme="majorHAnsi" w:hAnsiTheme="majorHAnsi" w:cstheme="majorHAnsi"/>
          <w:lang w:val="en-US"/>
        </w:rPr>
        <w:t xml:space="preserve"> in</w:t>
      </w:r>
      <w:r w:rsidR="00061F92">
        <w:rPr>
          <w:rFonts w:asciiTheme="majorHAnsi" w:hAnsiTheme="majorHAnsi" w:cstheme="majorHAnsi"/>
          <w:lang w:val="en-US"/>
        </w:rPr>
        <w:t xml:space="preserve"> reduced and</w:t>
      </w:r>
      <w:r w:rsidRPr="006B7245">
        <w:rPr>
          <w:rFonts w:asciiTheme="majorHAnsi" w:hAnsiTheme="majorHAnsi" w:cstheme="majorHAnsi"/>
          <w:lang w:val="en-US"/>
        </w:rPr>
        <w:t xml:space="preserve"> </w:t>
      </w:r>
      <w:r w:rsidRPr="00061F92">
        <w:rPr>
          <w:rFonts w:asciiTheme="majorHAnsi" w:hAnsiTheme="majorHAnsi" w:cstheme="majorHAnsi"/>
          <w:lang w:val="en-US"/>
        </w:rPr>
        <w:t>avoided</w:t>
      </w:r>
      <w:r w:rsidRPr="006B7245">
        <w:rPr>
          <w:rFonts w:asciiTheme="majorHAnsi" w:hAnsiTheme="majorHAnsi" w:cstheme="majorHAnsi"/>
          <w:lang w:val="en-US"/>
        </w:rPr>
        <w:t xml:space="preserve"> emissions by 2050 in its value chain and through innovations. </w:t>
      </w:r>
      <w:r w:rsidRPr="00061F92">
        <w:rPr>
          <w:rFonts w:asciiTheme="majorHAnsi" w:hAnsiTheme="majorHAnsi" w:cstheme="majorHAnsi"/>
          <w:lang w:val="en-US"/>
        </w:rPr>
        <w:t>These over 300 million tons of CO</w:t>
      </w:r>
      <w:r w:rsidRPr="00061F92">
        <w:rPr>
          <w:rFonts w:asciiTheme="majorHAnsi" w:hAnsiTheme="majorHAnsi" w:cstheme="majorHAnsi"/>
          <w:vertAlign w:val="subscript"/>
          <w:lang w:val="en-US"/>
        </w:rPr>
        <w:t>2</w:t>
      </w:r>
      <w:r w:rsidRPr="00061F92">
        <w:rPr>
          <w:rFonts w:asciiTheme="majorHAnsi" w:hAnsiTheme="majorHAnsi" w:cstheme="majorHAnsi"/>
          <w:lang w:val="en-US"/>
        </w:rPr>
        <w:t xml:space="preserve"> </w:t>
      </w:r>
      <w:r w:rsidR="00061F92" w:rsidRPr="002C0305">
        <w:rPr>
          <w:rFonts w:asciiTheme="majorHAnsi" w:hAnsiTheme="majorHAnsi" w:cstheme="majorHAnsi"/>
          <w:lang w:val="en-US"/>
        </w:rPr>
        <w:t>emissions</w:t>
      </w:r>
      <w:r w:rsidR="00061F92" w:rsidRPr="00061F92">
        <w:rPr>
          <w:rFonts w:asciiTheme="majorHAnsi" w:hAnsiTheme="majorHAnsi" w:cstheme="majorHAnsi"/>
          <w:lang w:val="en-US"/>
        </w:rPr>
        <w:t xml:space="preserve"> </w:t>
      </w:r>
      <w:r w:rsidR="005E6330" w:rsidRPr="00061F92">
        <w:rPr>
          <w:rFonts w:asciiTheme="majorHAnsi" w:hAnsiTheme="majorHAnsi" w:cstheme="majorHAnsi"/>
          <w:lang w:val="en-US"/>
        </w:rPr>
        <w:t>until 2050</w:t>
      </w:r>
      <w:r w:rsidRPr="00061F92">
        <w:rPr>
          <w:rFonts w:asciiTheme="majorHAnsi" w:hAnsiTheme="majorHAnsi" w:cstheme="majorHAnsi"/>
          <w:lang w:val="en-US"/>
        </w:rPr>
        <w:t xml:space="preserve"> </w:t>
      </w:r>
      <w:r w:rsidR="00061F92">
        <w:rPr>
          <w:rFonts w:asciiTheme="majorHAnsi" w:hAnsiTheme="majorHAnsi" w:cstheme="majorHAnsi"/>
          <w:lang w:val="en-US"/>
        </w:rPr>
        <w:t xml:space="preserve">are equivalent to </w:t>
      </w:r>
      <w:r w:rsidRPr="00061F92">
        <w:rPr>
          <w:rFonts w:asciiTheme="majorHAnsi" w:hAnsiTheme="majorHAnsi" w:cstheme="majorHAnsi"/>
          <w:lang w:val="en-US"/>
        </w:rPr>
        <w:t>approximately one percent</w:t>
      </w:r>
      <w:r w:rsidRPr="00061F92">
        <w:rPr>
          <w:rFonts w:asciiTheme="majorHAnsi" w:hAnsiTheme="majorHAnsi" w:cstheme="majorHAnsi"/>
          <w:vertAlign w:val="superscript"/>
          <w:lang w:val="en-US"/>
        </w:rPr>
        <w:t>2</w:t>
      </w:r>
      <w:r w:rsidRPr="00061F92">
        <w:rPr>
          <w:rFonts w:asciiTheme="majorHAnsi" w:hAnsiTheme="majorHAnsi" w:cstheme="majorHAnsi"/>
          <w:lang w:val="en-US"/>
        </w:rPr>
        <w:t xml:space="preserve"> of the current total global emissions of 33 billion tons per year.</w:t>
      </w:r>
      <w:r w:rsidRPr="006B7245">
        <w:rPr>
          <w:rFonts w:asciiTheme="majorHAnsi" w:hAnsiTheme="majorHAnsi" w:cstheme="majorHAnsi"/>
          <w:lang w:val="en-US"/>
        </w:rPr>
        <w:t xml:space="preserve"> </w:t>
      </w:r>
    </w:p>
    <w:p w14:paraId="50EC0857" w14:textId="43A2FD73" w:rsidR="006B7245" w:rsidRPr="001C585E" w:rsidRDefault="006B7245" w:rsidP="00FE6138">
      <w:pPr>
        <w:autoSpaceDE w:val="0"/>
        <w:autoSpaceDN w:val="0"/>
        <w:adjustRightInd w:val="0"/>
        <w:ind w:firstLine="284"/>
        <w:rPr>
          <w:rFonts w:asciiTheme="majorHAnsi" w:hAnsiTheme="majorHAnsi" w:cstheme="majorHAnsi"/>
          <w:lang w:val="en-GB"/>
        </w:rPr>
      </w:pPr>
      <w:r w:rsidRPr="006B7245">
        <w:rPr>
          <w:rFonts w:asciiTheme="majorHAnsi" w:hAnsiTheme="majorHAnsi" w:cstheme="majorHAnsi"/>
          <w:lang w:val="en-US"/>
        </w:rPr>
        <w:t>As a milestone on the path to achieving the 2030 and 2050 goals and targets, Panasonic</w:t>
      </w:r>
      <w:r w:rsidR="001451F1">
        <w:rPr>
          <w:rFonts w:asciiTheme="majorHAnsi" w:hAnsiTheme="majorHAnsi" w:cstheme="majorHAnsi"/>
          <w:lang w:val="en-US"/>
        </w:rPr>
        <w:t xml:space="preserve"> </w:t>
      </w:r>
      <w:r w:rsidR="001451F1" w:rsidRPr="002C0305">
        <w:rPr>
          <w:rFonts w:asciiTheme="majorHAnsi" w:hAnsiTheme="majorHAnsi" w:cstheme="majorHAnsi"/>
          <w:lang w:val="en-US"/>
        </w:rPr>
        <w:t>Group</w:t>
      </w:r>
      <w:r w:rsidRPr="002C0305">
        <w:rPr>
          <w:rFonts w:asciiTheme="majorHAnsi" w:hAnsiTheme="majorHAnsi" w:cstheme="majorHAnsi"/>
          <w:lang w:val="en-US"/>
        </w:rPr>
        <w:t>’s</w:t>
      </w:r>
      <w:r w:rsidRPr="006B7245">
        <w:rPr>
          <w:rFonts w:asciiTheme="majorHAnsi" w:hAnsiTheme="majorHAnsi" w:cstheme="majorHAnsi"/>
          <w:lang w:val="en-US"/>
        </w:rPr>
        <w:t xml:space="preserve"> 2024 (FY2025) milestones of its </w:t>
      </w:r>
      <w:r w:rsidR="00E44800">
        <w:rPr>
          <w:rFonts w:asciiTheme="majorHAnsi" w:hAnsiTheme="majorHAnsi" w:cstheme="majorHAnsi"/>
          <w:lang w:val="en-US"/>
        </w:rPr>
        <w:t>GREEN IMPACT</w:t>
      </w:r>
      <w:r w:rsidRPr="006B7245">
        <w:rPr>
          <w:rFonts w:asciiTheme="majorHAnsi" w:hAnsiTheme="majorHAnsi" w:cstheme="majorHAnsi"/>
          <w:lang w:val="en-US"/>
        </w:rPr>
        <w:t xml:space="preserve"> </w:t>
      </w:r>
      <w:r w:rsidR="00061F92">
        <w:rPr>
          <w:rFonts w:asciiTheme="majorHAnsi" w:hAnsiTheme="majorHAnsi" w:cstheme="majorHAnsi"/>
          <w:lang w:val="en-US"/>
        </w:rPr>
        <w:t>P</w:t>
      </w:r>
      <w:r w:rsidRPr="006B7245">
        <w:rPr>
          <w:rFonts w:asciiTheme="majorHAnsi" w:hAnsiTheme="majorHAnsi" w:cstheme="majorHAnsi"/>
          <w:lang w:val="en-US"/>
        </w:rPr>
        <w:t>lan 2024 establish specific actions to be completed by then. It aims to reduce CO</w:t>
      </w:r>
      <w:r w:rsidRPr="006B7245">
        <w:rPr>
          <w:rFonts w:asciiTheme="majorHAnsi" w:hAnsiTheme="majorHAnsi" w:cstheme="majorHAnsi"/>
          <w:vertAlign w:val="subscript"/>
          <w:lang w:val="en-US"/>
        </w:rPr>
        <w:t>2</w:t>
      </w:r>
      <w:r w:rsidRPr="006B7245">
        <w:rPr>
          <w:rFonts w:asciiTheme="majorHAnsi" w:hAnsiTheme="majorHAnsi" w:cstheme="majorHAnsi"/>
          <w:lang w:val="en-US"/>
        </w:rPr>
        <w:t xml:space="preserve"> emissions</w:t>
      </w:r>
      <w:r w:rsidR="00CC7CBB">
        <w:rPr>
          <w:rFonts w:asciiTheme="majorHAnsi" w:hAnsiTheme="majorHAnsi" w:cstheme="majorHAnsi"/>
          <w:lang w:val="en-US"/>
        </w:rPr>
        <w:t>,</w:t>
      </w:r>
      <w:r w:rsidRPr="006B7245">
        <w:rPr>
          <w:rFonts w:asciiTheme="majorHAnsi" w:hAnsiTheme="majorHAnsi" w:cstheme="majorHAnsi"/>
          <w:lang w:val="en-US"/>
        </w:rPr>
        <w:t xml:space="preserve"> especially from its own operations. </w:t>
      </w:r>
      <w:r w:rsidRPr="001C585E">
        <w:rPr>
          <w:rFonts w:asciiTheme="majorHAnsi" w:hAnsiTheme="majorHAnsi" w:cstheme="majorHAnsi"/>
          <w:lang w:val="en-GB"/>
        </w:rPr>
        <w:t xml:space="preserve">The following table gives a few concrete examples:  </w:t>
      </w:r>
    </w:p>
    <w:tbl>
      <w:tblPr>
        <w:tblStyle w:val="Tabellenraster"/>
        <w:tblW w:w="7797" w:type="dxa"/>
        <w:tblLook w:val="04A0" w:firstRow="1" w:lastRow="0" w:firstColumn="1" w:lastColumn="0" w:noHBand="0" w:noVBand="1"/>
      </w:tblPr>
      <w:tblGrid>
        <w:gridCol w:w="1187"/>
        <w:gridCol w:w="3916"/>
        <w:gridCol w:w="1276"/>
        <w:gridCol w:w="1418"/>
      </w:tblGrid>
      <w:tr w:rsidR="006B7245" w:rsidRPr="006B7245" w14:paraId="0145C666" w14:textId="77777777" w:rsidTr="002C0305">
        <w:tc>
          <w:tcPr>
            <w:tcW w:w="1187" w:type="dxa"/>
            <w:tcBorders>
              <w:top w:val="nil"/>
              <w:left w:val="nil"/>
              <w:bottom w:val="single" w:sz="4" w:space="0" w:color="auto"/>
              <w:right w:val="nil"/>
            </w:tcBorders>
          </w:tcPr>
          <w:p w14:paraId="0A08C3A8" w14:textId="77777777" w:rsidR="006B7245" w:rsidRPr="001C585E" w:rsidRDefault="006B7245" w:rsidP="00433EEB">
            <w:pPr>
              <w:autoSpaceDE w:val="0"/>
              <w:autoSpaceDN w:val="0"/>
              <w:adjustRightInd w:val="0"/>
              <w:rPr>
                <w:rFonts w:asciiTheme="majorHAnsi" w:hAnsiTheme="majorHAnsi" w:cstheme="majorHAnsi"/>
                <w:lang w:val="en-GB"/>
              </w:rPr>
            </w:pPr>
          </w:p>
        </w:tc>
        <w:tc>
          <w:tcPr>
            <w:tcW w:w="3916" w:type="dxa"/>
            <w:tcBorders>
              <w:top w:val="nil"/>
              <w:left w:val="nil"/>
              <w:bottom w:val="single" w:sz="4" w:space="0" w:color="auto"/>
              <w:right w:val="nil"/>
            </w:tcBorders>
          </w:tcPr>
          <w:p w14:paraId="0D46B38A" w14:textId="77777777" w:rsidR="006B7245" w:rsidRPr="001C585E" w:rsidRDefault="006B7245" w:rsidP="00433EEB">
            <w:pPr>
              <w:autoSpaceDE w:val="0"/>
              <w:autoSpaceDN w:val="0"/>
              <w:adjustRightInd w:val="0"/>
              <w:rPr>
                <w:rFonts w:asciiTheme="majorHAnsi" w:hAnsiTheme="majorHAnsi" w:cstheme="majorHAnsi"/>
                <w:sz w:val="18"/>
                <w:szCs w:val="18"/>
                <w:lang w:val="en-GB"/>
              </w:rPr>
            </w:pPr>
          </w:p>
        </w:tc>
        <w:tc>
          <w:tcPr>
            <w:tcW w:w="1276" w:type="dxa"/>
            <w:tcBorders>
              <w:top w:val="nil"/>
              <w:left w:val="nil"/>
              <w:bottom w:val="single" w:sz="4" w:space="0" w:color="auto"/>
              <w:right w:val="nil"/>
            </w:tcBorders>
          </w:tcPr>
          <w:p w14:paraId="6C626EC0" w14:textId="77777777" w:rsidR="006B7245" w:rsidRPr="006B7245" w:rsidRDefault="006B7245" w:rsidP="00433EEB">
            <w:pPr>
              <w:autoSpaceDE w:val="0"/>
              <w:autoSpaceDN w:val="0"/>
              <w:adjustRightInd w:val="0"/>
              <w:rPr>
                <w:rFonts w:asciiTheme="majorHAnsi" w:hAnsiTheme="majorHAnsi" w:cstheme="majorHAnsi"/>
                <w:b/>
                <w:bCs/>
                <w:sz w:val="18"/>
                <w:szCs w:val="18"/>
              </w:rPr>
            </w:pPr>
            <w:r w:rsidRPr="006B7245">
              <w:rPr>
                <w:rFonts w:asciiTheme="majorHAnsi" w:hAnsiTheme="majorHAnsi" w:cstheme="majorHAnsi"/>
                <w:b/>
                <w:bCs/>
                <w:sz w:val="18"/>
                <w:szCs w:val="18"/>
              </w:rPr>
              <w:t xml:space="preserve">FY2021 </w:t>
            </w:r>
            <w:proofErr w:type="spellStart"/>
            <w:r w:rsidRPr="006B7245">
              <w:rPr>
                <w:rFonts w:asciiTheme="majorHAnsi" w:hAnsiTheme="majorHAnsi" w:cstheme="majorHAnsi"/>
                <w:b/>
                <w:bCs/>
                <w:sz w:val="18"/>
                <w:szCs w:val="18"/>
              </w:rPr>
              <w:t>results</w:t>
            </w:r>
            <w:proofErr w:type="spellEnd"/>
          </w:p>
        </w:tc>
        <w:tc>
          <w:tcPr>
            <w:tcW w:w="1418" w:type="dxa"/>
            <w:tcBorders>
              <w:top w:val="nil"/>
              <w:left w:val="nil"/>
              <w:bottom w:val="single" w:sz="4" w:space="0" w:color="auto"/>
              <w:right w:val="nil"/>
            </w:tcBorders>
          </w:tcPr>
          <w:p w14:paraId="173FAFBE" w14:textId="77777777" w:rsidR="006B7245" w:rsidRPr="006B7245" w:rsidRDefault="006B7245" w:rsidP="00433EEB">
            <w:pPr>
              <w:autoSpaceDE w:val="0"/>
              <w:autoSpaceDN w:val="0"/>
              <w:adjustRightInd w:val="0"/>
              <w:rPr>
                <w:rFonts w:asciiTheme="majorHAnsi" w:hAnsiTheme="majorHAnsi" w:cstheme="majorHAnsi"/>
                <w:b/>
                <w:bCs/>
                <w:sz w:val="18"/>
                <w:szCs w:val="18"/>
              </w:rPr>
            </w:pPr>
            <w:r w:rsidRPr="006B7245">
              <w:rPr>
                <w:rFonts w:asciiTheme="majorHAnsi" w:hAnsiTheme="majorHAnsi" w:cstheme="majorHAnsi"/>
                <w:b/>
                <w:bCs/>
                <w:sz w:val="18"/>
                <w:szCs w:val="18"/>
              </w:rPr>
              <w:t>FY2025 targets</w:t>
            </w:r>
          </w:p>
        </w:tc>
      </w:tr>
      <w:tr w:rsidR="006B7245" w:rsidRPr="006B7245" w14:paraId="35F266F3" w14:textId="77777777" w:rsidTr="002C0305">
        <w:tc>
          <w:tcPr>
            <w:tcW w:w="1187" w:type="dxa"/>
            <w:vMerge w:val="restart"/>
            <w:tcBorders>
              <w:top w:val="single" w:sz="4" w:space="0" w:color="auto"/>
            </w:tcBorders>
          </w:tcPr>
          <w:p w14:paraId="6CD8D745" w14:textId="77777777" w:rsidR="006B7245" w:rsidRPr="006B7245" w:rsidRDefault="006B7245" w:rsidP="00433EEB">
            <w:pPr>
              <w:autoSpaceDE w:val="0"/>
              <w:autoSpaceDN w:val="0"/>
              <w:adjustRightInd w:val="0"/>
              <w:rPr>
                <w:rFonts w:asciiTheme="majorHAnsi" w:hAnsiTheme="majorHAnsi" w:cstheme="majorHAnsi"/>
                <w:b/>
                <w:bCs/>
                <w:sz w:val="18"/>
                <w:szCs w:val="18"/>
                <w:vertAlign w:val="subscript"/>
              </w:rPr>
            </w:pPr>
            <w:r w:rsidRPr="002C0305">
              <w:rPr>
                <w:rFonts w:asciiTheme="majorHAnsi" w:hAnsiTheme="majorHAnsi" w:cstheme="majorHAnsi"/>
                <w:b/>
                <w:bCs/>
                <w:sz w:val="18"/>
                <w:szCs w:val="18"/>
              </w:rPr>
              <w:t>CO</w:t>
            </w:r>
            <w:r w:rsidRPr="002C0305">
              <w:rPr>
                <w:rFonts w:asciiTheme="majorHAnsi" w:hAnsiTheme="majorHAnsi" w:cstheme="majorHAnsi"/>
                <w:b/>
                <w:bCs/>
                <w:sz w:val="18"/>
                <w:szCs w:val="18"/>
                <w:vertAlign w:val="subscript"/>
              </w:rPr>
              <w:t>2</w:t>
            </w:r>
            <w:r w:rsidRPr="002C0305">
              <w:rPr>
                <w:rFonts w:asciiTheme="majorHAnsi" w:hAnsiTheme="majorHAnsi" w:cstheme="majorHAnsi"/>
                <w:b/>
                <w:bCs/>
                <w:sz w:val="18"/>
                <w:szCs w:val="18"/>
              </w:rPr>
              <w:t>/ Energy</w:t>
            </w:r>
          </w:p>
        </w:tc>
        <w:tc>
          <w:tcPr>
            <w:tcW w:w="3916" w:type="dxa"/>
            <w:tcBorders>
              <w:top w:val="single" w:sz="4" w:space="0" w:color="auto"/>
            </w:tcBorders>
          </w:tcPr>
          <w:p w14:paraId="55C77651" w14:textId="0A890C96"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b/>
                <w:bCs/>
                <w:sz w:val="18"/>
                <w:szCs w:val="18"/>
                <w:lang w:val="en-US"/>
              </w:rPr>
              <w:t>Own Impact:</w:t>
            </w:r>
            <w:r w:rsidRPr="006B7245">
              <w:rPr>
                <w:rFonts w:asciiTheme="majorHAnsi" w:hAnsiTheme="majorHAnsi" w:cstheme="majorHAnsi"/>
                <w:sz w:val="18"/>
                <w:szCs w:val="18"/>
                <w:lang w:val="en-US"/>
              </w:rPr>
              <w:t xml:space="preserve"> CO</w:t>
            </w:r>
            <w:r w:rsidRPr="006B7245">
              <w:rPr>
                <w:rFonts w:asciiTheme="majorHAnsi" w:hAnsiTheme="majorHAnsi" w:cstheme="majorHAnsi"/>
                <w:sz w:val="18"/>
                <w:szCs w:val="18"/>
                <w:vertAlign w:val="subscript"/>
                <w:lang w:val="en-US"/>
              </w:rPr>
              <w:t>2</w:t>
            </w:r>
            <w:r w:rsidRPr="006B7245">
              <w:rPr>
                <w:rFonts w:asciiTheme="majorHAnsi" w:hAnsiTheme="majorHAnsi" w:cstheme="majorHAnsi"/>
                <w:sz w:val="18"/>
                <w:szCs w:val="18"/>
                <w:lang w:val="en-US"/>
              </w:rPr>
              <w:t xml:space="preserve"> reductions in our own</w:t>
            </w:r>
            <w:r w:rsidR="002C0305">
              <w:rPr>
                <w:rFonts w:asciiTheme="majorHAnsi" w:hAnsiTheme="majorHAnsi" w:cstheme="majorHAnsi"/>
                <w:sz w:val="18"/>
                <w:szCs w:val="18"/>
                <w:lang w:val="en-US"/>
              </w:rPr>
              <w:t xml:space="preserve"> </w:t>
            </w:r>
            <w:r w:rsidRPr="006B7245">
              <w:rPr>
                <w:rFonts w:asciiTheme="majorHAnsi" w:hAnsiTheme="majorHAnsi" w:cstheme="majorHAnsi"/>
                <w:sz w:val="18"/>
                <w:szCs w:val="18"/>
                <w:lang w:val="en-US"/>
              </w:rPr>
              <w:t>VC</w:t>
            </w:r>
            <w:r w:rsidRPr="006B7245">
              <w:rPr>
                <w:rFonts w:asciiTheme="majorHAnsi" w:hAnsiTheme="majorHAnsi" w:cstheme="majorHAnsi"/>
                <w:sz w:val="18"/>
                <w:szCs w:val="18"/>
                <w:vertAlign w:val="superscript"/>
                <w:lang w:val="en-US"/>
              </w:rPr>
              <w:t>3</w:t>
            </w:r>
          </w:p>
        </w:tc>
        <w:tc>
          <w:tcPr>
            <w:tcW w:w="1276" w:type="dxa"/>
            <w:tcBorders>
              <w:top w:val="single" w:sz="4" w:space="0" w:color="auto"/>
            </w:tcBorders>
          </w:tcPr>
          <w:p w14:paraId="6012D75E"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w:t>
            </w:r>
          </w:p>
        </w:tc>
        <w:tc>
          <w:tcPr>
            <w:tcW w:w="1418" w:type="dxa"/>
            <w:tcBorders>
              <w:top w:val="single" w:sz="4" w:space="0" w:color="auto"/>
            </w:tcBorders>
          </w:tcPr>
          <w:p w14:paraId="4DDD1819"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 xml:space="preserve">16.34 Mt </w:t>
            </w:r>
            <w:r w:rsidRPr="006B7245">
              <w:rPr>
                <w:rFonts w:asciiTheme="majorHAnsi" w:hAnsiTheme="majorHAnsi" w:cstheme="majorHAnsi"/>
                <w:sz w:val="18"/>
                <w:szCs w:val="18"/>
                <w:vertAlign w:val="superscript"/>
              </w:rPr>
              <w:t>4</w:t>
            </w:r>
          </w:p>
        </w:tc>
      </w:tr>
      <w:tr w:rsidR="006B7245" w:rsidRPr="006B7245" w14:paraId="53F705FB" w14:textId="77777777" w:rsidTr="002C0305">
        <w:tc>
          <w:tcPr>
            <w:tcW w:w="1187" w:type="dxa"/>
            <w:vMerge/>
          </w:tcPr>
          <w:p w14:paraId="2F645963"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37C5EE07"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b/>
                <w:bCs/>
                <w:sz w:val="18"/>
                <w:szCs w:val="18"/>
              </w:rPr>
              <w:t>- Scopes 1&amp;2</w:t>
            </w:r>
            <w:r w:rsidRPr="006B7245">
              <w:rPr>
                <w:rFonts w:asciiTheme="majorHAnsi" w:hAnsiTheme="majorHAnsi" w:cstheme="majorHAnsi"/>
                <w:b/>
                <w:bCs/>
                <w:sz w:val="18"/>
                <w:szCs w:val="18"/>
                <w:vertAlign w:val="superscript"/>
              </w:rPr>
              <w:t>3</w:t>
            </w:r>
            <w:r w:rsidRPr="006B7245">
              <w:rPr>
                <w:rFonts w:asciiTheme="majorHAnsi" w:hAnsiTheme="majorHAnsi" w:cstheme="majorHAnsi"/>
                <w:b/>
                <w:bCs/>
                <w:sz w:val="18"/>
                <w:szCs w:val="18"/>
              </w:rPr>
              <w:t>:</w:t>
            </w:r>
            <w:r w:rsidRPr="006B7245">
              <w:rPr>
                <w:rFonts w:asciiTheme="majorHAnsi" w:hAnsiTheme="majorHAnsi" w:cstheme="majorHAnsi"/>
                <w:sz w:val="18"/>
                <w:szCs w:val="18"/>
              </w:rPr>
              <w:t xml:space="preserve"> Zero-CO</w:t>
            </w:r>
            <w:r w:rsidRPr="006B7245">
              <w:rPr>
                <w:rFonts w:asciiTheme="majorHAnsi" w:hAnsiTheme="majorHAnsi" w:cstheme="majorHAnsi"/>
                <w:sz w:val="18"/>
                <w:szCs w:val="18"/>
                <w:vertAlign w:val="subscript"/>
              </w:rPr>
              <w:t>2</w:t>
            </w:r>
            <w:r w:rsidRPr="006B7245">
              <w:rPr>
                <w:rFonts w:asciiTheme="majorHAnsi" w:hAnsiTheme="majorHAnsi" w:cstheme="majorHAnsi"/>
                <w:sz w:val="18"/>
                <w:szCs w:val="18"/>
              </w:rPr>
              <w:t xml:space="preserve"> factories</w:t>
            </w:r>
          </w:p>
        </w:tc>
        <w:tc>
          <w:tcPr>
            <w:tcW w:w="1276" w:type="dxa"/>
          </w:tcPr>
          <w:p w14:paraId="3F494BD3"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7 factories</w:t>
            </w:r>
          </w:p>
        </w:tc>
        <w:tc>
          <w:tcPr>
            <w:tcW w:w="1418" w:type="dxa"/>
          </w:tcPr>
          <w:p w14:paraId="79EEA9DA"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37 factories</w:t>
            </w:r>
          </w:p>
        </w:tc>
      </w:tr>
      <w:tr w:rsidR="006B7245" w:rsidRPr="006B7245" w14:paraId="44EEB771" w14:textId="77777777" w:rsidTr="002C0305">
        <w:tc>
          <w:tcPr>
            <w:tcW w:w="1187" w:type="dxa"/>
            <w:vMerge/>
          </w:tcPr>
          <w:p w14:paraId="46AD5CB4"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03CA3C29"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b/>
                <w:bCs/>
                <w:sz w:val="18"/>
                <w:szCs w:val="18"/>
              </w:rPr>
              <w:t>- Scopes 1&amp;2</w:t>
            </w:r>
            <w:r w:rsidRPr="006B7245">
              <w:rPr>
                <w:rFonts w:asciiTheme="majorHAnsi" w:hAnsiTheme="majorHAnsi" w:cstheme="majorHAnsi"/>
                <w:b/>
                <w:bCs/>
                <w:sz w:val="18"/>
                <w:szCs w:val="18"/>
                <w:vertAlign w:val="superscript"/>
              </w:rPr>
              <w:t>3</w:t>
            </w:r>
            <w:r w:rsidRPr="006B7245">
              <w:rPr>
                <w:rFonts w:asciiTheme="majorHAnsi" w:hAnsiTheme="majorHAnsi" w:cstheme="majorHAnsi"/>
                <w:b/>
                <w:bCs/>
                <w:sz w:val="18"/>
                <w:szCs w:val="18"/>
              </w:rPr>
              <w:t>:</w:t>
            </w:r>
            <w:r w:rsidRPr="006B7245">
              <w:rPr>
                <w:rFonts w:asciiTheme="majorHAnsi" w:hAnsiTheme="majorHAnsi" w:cstheme="majorHAnsi"/>
                <w:sz w:val="18"/>
                <w:szCs w:val="18"/>
              </w:rPr>
              <w:t xml:space="preserve"> CO</w:t>
            </w:r>
            <w:r w:rsidRPr="006B7245">
              <w:rPr>
                <w:rFonts w:asciiTheme="majorHAnsi" w:hAnsiTheme="majorHAnsi" w:cstheme="majorHAnsi"/>
                <w:sz w:val="18"/>
                <w:szCs w:val="18"/>
                <w:vertAlign w:val="subscript"/>
              </w:rPr>
              <w:t>2</w:t>
            </w:r>
            <w:r w:rsidRPr="006B7245">
              <w:rPr>
                <w:rFonts w:asciiTheme="majorHAnsi" w:hAnsiTheme="majorHAnsi" w:cstheme="majorHAnsi"/>
                <w:sz w:val="18"/>
                <w:szCs w:val="18"/>
              </w:rPr>
              <w:t xml:space="preserve"> reductions</w:t>
            </w:r>
          </w:p>
        </w:tc>
        <w:tc>
          <w:tcPr>
            <w:tcW w:w="1276" w:type="dxa"/>
          </w:tcPr>
          <w:p w14:paraId="0072B169"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w:t>
            </w:r>
          </w:p>
        </w:tc>
        <w:tc>
          <w:tcPr>
            <w:tcW w:w="1418" w:type="dxa"/>
          </w:tcPr>
          <w:p w14:paraId="4B0CCBAE"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 xml:space="preserve">0.26 Mt </w:t>
            </w:r>
            <w:r w:rsidRPr="006B7245">
              <w:rPr>
                <w:rFonts w:asciiTheme="majorHAnsi" w:hAnsiTheme="majorHAnsi" w:cstheme="majorHAnsi"/>
                <w:sz w:val="18"/>
                <w:szCs w:val="18"/>
                <w:vertAlign w:val="superscript"/>
              </w:rPr>
              <w:t>4</w:t>
            </w:r>
          </w:p>
        </w:tc>
      </w:tr>
      <w:tr w:rsidR="006B7245" w:rsidRPr="006B7245" w14:paraId="25593A47" w14:textId="77777777" w:rsidTr="002C0305">
        <w:tc>
          <w:tcPr>
            <w:tcW w:w="1187" w:type="dxa"/>
            <w:vMerge/>
          </w:tcPr>
          <w:p w14:paraId="15003834"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4478E7AD" w14:textId="68C28471"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b/>
                <w:bCs/>
                <w:sz w:val="18"/>
                <w:szCs w:val="18"/>
                <w:lang w:val="en-US"/>
              </w:rPr>
              <w:t>- Scope 3</w:t>
            </w:r>
            <w:r w:rsidRPr="006B7245">
              <w:rPr>
                <w:rFonts w:asciiTheme="majorHAnsi" w:hAnsiTheme="majorHAnsi" w:cstheme="majorHAnsi"/>
                <w:b/>
                <w:bCs/>
                <w:sz w:val="18"/>
                <w:szCs w:val="18"/>
                <w:vertAlign w:val="superscript"/>
                <w:lang w:val="en-US"/>
              </w:rPr>
              <w:t>3</w:t>
            </w:r>
            <w:r w:rsidRPr="006B7245">
              <w:rPr>
                <w:rFonts w:asciiTheme="majorHAnsi" w:hAnsiTheme="majorHAnsi" w:cstheme="majorHAnsi"/>
                <w:b/>
                <w:bCs/>
                <w:sz w:val="18"/>
                <w:szCs w:val="18"/>
                <w:lang w:val="en-US"/>
              </w:rPr>
              <w:t>:</w:t>
            </w:r>
            <w:r w:rsidRPr="006B7245">
              <w:rPr>
                <w:rFonts w:asciiTheme="majorHAnsi" w:hAnsiTheme="majorHAnsi" w:cstheme="majorHAnsi"/>
                <w:sz w:val="18"/>
                <w:szCs w:val="18"/>
                <w:lang w:val="en-US"/>
              </w:rPr>
              <w:t xml:space="preserve"> CO</w:t>
            </w:r>
            <w:r w:rsidRPr="006B7245">
              <w:rPr>
                <w:rFonts w:asciiTheme="majorHAnsi" w:hAnsiTheme="majorHAnsi" w:cstheme="majorHAnsi"/>
                <w:sz w:val="18"/>
                <w:szCs w:val="18"/>
                <w:vertAlign w:val="subscript"/>
                <w:lang w:val="en-US"/>
              </w:rPr>
              <w:t>2</w:t>
            </w:r>
            <w:r w:rsidRPr="006B7245">
              <w:rPr>
                <w:rFonts w:asciiTheme="majorHAnsi" w:hAnsiTheme="majorHAnsi" w:cstheme="majorHAnsi"/>
                <w:sz w:val="18"/>
                <w:szCs w:val="18"/>
                <w:lang w:val="en-US"/>
              </w:rPr>
              <w:t xml:space="preserve"> reductions in </w:t>
            </w:r>
            <w:r w:rsidR="00CC7CBB">
              <w:rPr>
                <w:rFonts w:asciiTheme="majorHAnsi" w:hAnsiTheme="majorHAnsi" w:cstheme="majorHAnsi"/>
                <w:sz w:val="18"/>
                <w:szCs w:val="18"/>
                <w:lang w:val="en-US"/>
              </w:rPr>
              <w:t xml:space="preserve">the </w:t>
            </w:r>
            <w:r w:rsidRPr="006B7245">
              <w:rPr>
                <w:rFonts w:asciiTheme="majorHAnsi" w:hAnsiTheme="majorHAnsi" w:cstheme="majorHAnsi"/>
                <w:sz w:val="18"/>
                <w:szCs w:val="18"/>
                <w:lang w:val="en-US"/>
              </w:rPr>
              <w:t>use of our products by customers</w:t>
            </w:r>
          </w:p>
        </w:tc>
        <w:tc>
          <w:tcPr>
            <w:tcW w:w="1276" w:type="dxa"/>
          </w:tcPr>
          <w:p w14:paraId="6D5CA7F2"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w:t>
            </w:r>
          </w:p>
        </w:tc>
        <w:tc>
          <w:tcPr>
            <w:tcW w:w="1418" w:type="dxa"/>
          </w:tcPr>
          <w:p w14:paraId="16A3CF6D"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 xml:space="preserve">16.08 Mt </w:t>
            </w:r>
            <w:r w:rsidRPr="006B7245">
              <w:rPr>
                <w:rFonts w:asciiTheme="majorHAnsi" w:hAnsiTheme="majorHAnsi" w:cstheme="majorHAnsi"/>
                <w:sz w:val="18"/>
                <w:szCs w:val="18"/>
                <w:vertAlign w:val="superscript"/>
              </w:rPr>
              <w:t>4</w:t>
            </w:r>
          </w:p>
        </w:tc>
      </w:tr>
      <w:tr w:rsidR="006B7245" w:rsidRPr="006B7245" w14:paraId="45B0AABB" w14:textId="77777777" w:rsidTr="002C0305">
        <w:tc>
          <w:tcPr>
            <w:tcW w:w="1187" w:type="dxa"/>
            <w:vMerge/>
          </w:tcPr>
          <w:p w14:paraId="6B1D79AD"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64D1D16A" w14:textId="77777777"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b/>
                <w:bCs/>
                <w:sz w:val="18"/>
                <w:szCs w:val="18"/>
                <w:lang w:val="en-US"/>
              </w:rPr>
              <w:t>Contribution Impact:</w:t>
            </w:r>
            <w:r w:rsidRPr="006B7245">
              <w:rPr>
                <w:rFonts w:asciiTheme="majorHAnsi" w:hAnsiTheme="majorHAnsi" w:cstheme="majorHAnsi"/>
                <w:sz w:val="18"/>
                <w:szCs w:val="18"/>
                <w:lang w:val="en-US"/>
              </w:rPr>
              <w:t xml:space="preserve"> “Avoided Emissions” for society</w:t>
            </w:r>
          </w:p>
        </w:tc>
        <w:tc>
          <w:tcPr>
            <w:tcW w:w="1276" w:type="dxa"/>
          </w:tcPr>
          <w:p w14:paraId="605BBB2E"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23.47 Mt</w:t>
            </w:r>
          </w:p>
        </w:tc>
        <w:tc>
          <w:tcPr>
            <w:tcW w:w="1418" w:type="dxa"/>
          </w:tcPr>
          <w:p w14:paraId="3A28AE3A"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 xml:space="preserve">38.3 Mt </w:t>
            </w:r>
            <w:r w:rsidRPr="006B7245">
              <w:rPr>
                <w:rFonts w:asciiTheme="majorHAnsi" w:hAnsiTheme="majorHAnsi" w:cstheme="majorHAnsi"/>
                <w:sz w:val="18"/>
                <w:szCs w:val="18"/>
                <w:vertAlign w:val="superscript"/>
              </w:rPr>
              <w:t>4</w:t>
            </w:r>
          </w:p>
        </w:tc>
      </w:tr>
      <w:tr w:rsidR="006B7245" w:rsidRPr="006B7245" w14:paraId="40CA4C68" w14:textId="77777777" w:rsidTr="002C0305">
        <w:tc>
          <w:tcPr>
            <w:tcW w:w="1187" w:type="dxa"/>
            <w:vMerge w:val="restart"/>
          </w:tcPr>
          <w:p w14:paraId="2592A299" w14:textId="77777777" w:rsidR="006B7245" w:rsidRPr="006B7245" w:rsidRDefault="006B7245" w:rsidP="00433EEB">
            <w:pPr>
              <w:autoSpaceDE w:val="0"/>
              <w:autoSpaceDN w:val="0"/>
              <w:adjustRightInd w:val="0"/>
              <w:rPr>
                <w:rFonts w:asciiTheme="majorHAnsi" w:hAnsiTheme="majorHAnsi" w:cstheme="majorHAnsi"/>
                <w:b/>
                <w:bCs/>
                <w:sz w:val="18"/>
                <w:szCs w:val="18"/>
              </w:rPr>
            </w:pPr>
            <w:r w:rsidRPr="006B7245">
              <w:rPr>
                <w:rFonts w:asciiTheme="majorHAnsi" w:hAnsiTheme="majorHAnsi" w:cstheme="majorHAnsi"/>
                <w:b/>
                <w:bCs/>
                <w:sz w:val="18"/>
                <w:szCs w:val="18"/>
              </w:rPr>
              <w:t>Resources/ CE</w:t>
            </w:r>
            <w:r w:rsidRPr="006B7245">
              <w:rPr>
                <w:rFonts w:asciiTheme="majorHAnsi" w:hAnsiTheme="majorHAnsi" w:cstheme="majorHAnsi"/>
                <w:b/>
                <w:bCs/>
                <w:sz w:val="18"/>
                <w:szCs w:val="18"/>
                <w:vertAlign w:val="superscript"/>
              </w:rPr>
              <w:t>5</w:t>
            </w:r>
            <w:r w:rsidRPr="006B7245">
              <w:rPr>
                <w:rFonts w:asciiTheme="majorHAnsi" w:hAnsiTheme="majorHAnsi" w:cstheme="majorHAnsi"/>
                <w:b/>
                <w:bCs/>
                <w:sz w:val="18"/>
                <w:szCs w:val="18"/>
              </w:rPr>
              <w:t xml:space="preserve"> </w:t>
            </w:r>
          </w:p>
        </w:tc>
        <w:tc>
          <w:tcPr>
            <w:tcW w:w="3916" w:type="dxa"/>
          </w:tcPr>
          <w:p w14:paraId="0574992F" w14:textId="77777777"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sz w:val="18"/>
                <w:szCs w:val="18"/>
                <w:lang w:val="en-US"/>
              </w:rPr>
              <w:t>Recycling ratio of factory waste</w:t>
            </w:r>
          </w:p>
        </w:tc>
        <w:tc>
          <w:tcPr>
            <w:tcW w:w="1276" w:type="dxa"/>
          </w:tcPr>
          <w:p w14:paraId="65254C21"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98.7%</w:t>
            </w:r>
          </w:p>
        </w:tc>
        <w:tc>
          <w:tcPr>
            <w:tcW w:w="1418" w:type="dxa"/>
          </w:tcPr>
          <w:p w14:paraId="62E686B2"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99% or more</w:t>
            </w:r>
          </w:p>
        </w:tc>
      </w:tr>
      <w:tr w:rsidR="006B7245" w:rsidRPr="006B7245" w14:paraId="7F38AB95" w14:textId="77777777" w:rsidTr="002C0305">
        <w:tc>
          <w:tcPr>
            <w:tcW w:w="1187" w:type="dxa"/>
            <w:vMerge/>
          </w:tcPr>
          <w:p w14:paraId="2BE20148"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1857F649" w14:textId="77777777"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sz w:val="18"/>
                <w:szCs w:val="18"/>
                <w:lang w:val="en-US"/>
              </w:rPr>
              <w:t>Use of recycled resin (3-year sum</w:t>
            </w:r>
            <w:r w:rsidRPr="006B7245">
              <w:rPr>
                <w:rFonts w:asciiTheme="majorHAnsi" w:hAnsiTheme="majorHAnsi" w:cstheme="majorHAnsi"/>
                <w:sz w:val="18"/>
                <w:szCs w:val="18"/>
                <w:vertAlign w:val="superscript"/>
                <w:lang w:val="en-US"/>
              </w:rPr>
              <w:t>6</w:t>
            </w:r>
            <w:r w:rsidRPr="006B7245">
              <w:rPr>
                <w:rFonts w:asciiTheme="majorHAnsi" w:hAnsiTheme="majorHAnsi" w:cstheme="majorHAnsi"/>
                <w:sz w:val="18"/>
                <w:szCs w:val="18"/>
                <w:lang w:val="en-US"/>
              </w:rPr>
              <w:t>)</w:t>
            </w:r>
          </w:p>
        </w:tc>
        <w:tc>
          <w:tcPr>
            <w:tcW w:w="1276" w:type="dxa"/>
          </w:tcPr>
          <w:p w14:paraId="018FFACE"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43.3 Kt</w:t>
            </w:r>
          </w:p>
        </w:tc>
        <w:tc>
          <w:tcPr>
            <w:tcW w:w="1418" w:type="dxa"/>
          </w:tcPr>
          <w:p w14:paraId="0B9571BA"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90 Kt</w:t>
            </w:r>
          </w:p>
        </w:tc>
      </w:tr>
      <w:tr w:rsidR="006B7245" w:rsidRPr="006B7245" w14:paraId="57147AF2" w14:textId="77777777" w:rsidTr="002C0305">
        <w:tc>
          <w:tcPr>
            <w:tcW w:w="1187" w:type="dxa"/>
            <w:vMerge/>
          </w:tcPr>
          <w:p w14:paraId="3C1B759E" w14:textId="77777777" w:rsidR="006B7245" w:rsidRPr="006B7245" w:rsidRDefault="006B7245" w:rsidP="00433EEB">
            <w:pPr>
              <w:autoSpaceDE w:val="0"/>
              <w:autoSpaceDN w:val="0"/>
              <w:adjustRightInd w:val="0"/>
              <w:rPr>
                <w:rFonts w:asciiTheme="majorHAnsi" w:hAnsiTheme="majorHAnsi" w:cstheme="majorHAnsi"/>
              </w:rPr>
            </w:pPr>
          </w:p>
        </w:tc>
        <w:tc>
          <w:tcPr>
            <w:tcW w:w="3916" w:type="dxa"/>
          </w:tcPr>
          <w:p w14:paraId="047C01A6" w14:textId="77777777" w:rsidR="006B7245" w:rsidRPr="006B7245" w:rsidRDefault="006B7245" w:rsidP="00433EEB">
            <w:pPr>
              <w:autoSpaceDE w:val="0"/>
              <w:autoSpaceDN w:val="0"/>
              <w:adjustRightInd w:val="0"/>
              <w:rPr>
                <w:rFonts w:asciiTheme="majorHAnsi" w:hAnsiTheme="majorHAnsi" w:cstheme="majorHAnsi"/>
                <w:sz w:val="18"/>
                <w:szCs w:val="18"/>
                <w:lang w:val="en-US"/>
              </w:rPr>
            </w:pPr>
            <w:r w:rsidRPr="006B7245">
              <w:rPr>
                <w:rFonts w:asciiTheme="majorHAnsi" w:hAnsiTheme="majorHAnsi" w:cstheme="majorHAnsi"/>
                <w:sz w:val="18"/>
                <w:szCs w:val="18"/>
                <w:lang w:val="en-US"/>
              </w:rPr>
              <w:t>CE-based business models/products</w:t>
            </w:r>
          </w:p>
        </w:tc>
        <w:tc>
          <w:tcPr>
            <w:tcW w:w="1276" w:type="dxa"/>
          </w:tcPr>
          <w:p w14:paraId="2457E937"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5 businesses</w:t>
            </w:r>
          </w:p>
        </w:tc>
        <w:tc>
          <w:tcPr>
            <w:tcW w:w="1418" w:type="dxa"/>
          </w:tcPr>
          <w:p w14:paraId="5B9AA763" w14:textId="77777777" w:rsidR="006B7245" w:rsidRPr="006B7245" w:rsidRDefault="006B7245" w:rsidP="00433EEB">
            <w:pPr>
              <w:autoSpaceDE w:val="0"/>
              <w:autoSpaceDN w:val="0"/>
              <w:adjustRightInd w:val="0"/>
              <w:rPr>
                <w:rFonts w:asciiTheme="majorHAnsi" w:hAnsiTheme="majorHAnsi" w:cstheme="majorHAnsi"/>
                <w:sz w:val="18"/>
                <w:szCs w:val="18"/>
              </w:rPr>
            </w:pPr>
            <w:r w:rsidRPr="006B7245">
              <w:rPr>
                <w:rFonts w:asciiTheme="majorHAnsi" w:hAnsiTheme="majorHAnsi" w:cstheme="majorHAnsi"/>
                <w:sz w:val="18"/>
                <w:szCs w:val="18"/>
              </w:rPr>
              <w:t>13 businesses</w:t>
            </w:r>
          </w:p>
        </w:tc>
      </w:tr>
    </w:tbl>
    <w:p w14:paraId="084C7F74" w14:textId="77777777" w:rsidR="001C585E" w:rsidRDefault="001C585E" w:rsidP="006B7245">
      <w:pPr>
        <w:autoSpaceDE w:val="0"/>
        <w:autoSpaceDN w:val="0"/>
        <w:adjustRightInd w:val="0"/>
        <w:spacing w:after="0" w:line="240" w:lineRule="auto"/>
        <w:rPr>
          <w:rFonts w:asciiTheme="majorHAnsi" w:hAnsiTheme="majorHAnsi" w:cstheme="majorHAnsi"/>
          <w:sz w:val="16"/>
          <w:szCs w:val="16"/>
          <w:vertAlign w:val="superscript"/>
          <w:lang w:val="en-US"/>
        </w:rPr>
      </w:pPr>
    </w:p>
    <w:p w14:paraId="4D8B61B6" w14:textId="7909CEB9"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1</w:t>
      </w:r>
      <w:r w:rsidRPr="006B7245">
        <w:rPr>
          <w:rFonts w:asciiTheme="majorHAnsi" w:hAnsiTheme="majorHAnsi" w:cstheme="majorHAnsi"/>
          <w:sz w:val="16"/>
          <w:szCs w:val="16"/>
          <w:lang w:val="en-US"/>
        </w:rPr>
        <w:t xml:space="preserve"> 2019 energy-related CO</w:t>
      </w:r>
      <w:r w:rsidRPr="006B7245">
        <w:rPr>
          <w:rFonts w:asciiTheme="majorHAnsi" w:hAnsiTheme="majorHAnsi" w:cstheme="majorHAnsi"/>
          <w:sz w:val="16"/>
          <w:szCs w:val="16"/>
          <w:vertAlign w:val="subscript"/>
          <w:lang w:val="en-US"/>
        </w:rPr>
        <w:t>2</w:t>
      </w:r>
      <w:r w:rsidRPr="006B7245">
        <w:rPr>
          <w:rFonts w:asciiTheme="majorHAnsi" w:hAnsiTheme="majorHAnsi" w:cstheme="majorHAnsi"/>
          <w:sz w:val="16"/>
          <w:szCs w:val="16"/>
          <w:lang w:val="en-US"/>
        </w:rPr>
        <w:t xml:space="preserve"> emissions: 33.6 billion tons (source: IEA).</w:t>
      </w:r>
    </w:p>
    <w:p w14:paraId="7730589B" w14:textId="77777777"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2</w:t>
      </w:r>
      <w:r w:rsidRPr="006B7245">
        <w:rPr>
          <w:rFonts w:asciiTheme="majorHAnsi" w:hAnsiTheme="majorHAnsi" w:cstheme="majorHAnsi"/>
          <w:sz w:val="16"/>
          <w:szCs w:val="16"/>
          <w:lang w:val="en-US"/>
        </w:rPr>
        <w:t xml:space="preserve"> CO</w:t>
      </w:r>
      <w:r w:rsidRPr="006B7245">
        <w:rPr>
          <w:rFonts w:asciiTheme="majorHAnsi" w:hAnsiTheme="majorHAnsi" w:cstheme="majorHAnsi"/>
          <w:sz w:val="16"/>
          <w:szCs w:val="16"/>
          <w:vertAlign w:val="subscript"/>
          <w:lang w:val="en-US"/>
        </w:rPr>
        <w:t>2</w:t>
      </w:r>
      <w:r w:rsidRPr="006B7245">
        <w:rPr>
          <w:rFonts w:asciiTheme="majorHAnsi" w:hAnsiTheme="majorHAnsi" w:cstheme="majorHAnsi"/>
          <w:sz w:val="16"/>
          <w:szCs w:val="16"/>
          <w:lang w:val="en-US"/>
        </w:rPr>
        <w:t xml:space="preserve"> emission factor is based on 2020</w:t>
      </w:r>
    </w:p>
    <w:p w14:paraId="14C43C2E" w14:textId="77777777"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3</w:t>
      </w:r>
      <w:r w:rsidRPr="006B7245">
        <w:rPr>
          <w:rFonts w:asciiTheme="majorHAnsi" w:hAnsiTheme="majorHAnsi" w:cstheme="majorHAnsi"/>
          <w:sz w:val="16"/>
          <w:szCs w:val="16"/>
          <w:lang w:val="en-US"/>
        </w:rPr>
        <w:t xml:space="preserve"> Classification made based on GHG (Green House Gas) Protocol, the international calculation standard</w:t>
      </w:r>
    </w:p>
    <w:p w14:paraId="47456C94" w14:textId="77777777"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4</w:t>
      </w:r>
      <w:r w:rsidRPr="006B7245">
        <w:rPr>
          <w:rFonts w:asciiTheme="majorHAnsi" w:hAnsiTheme="majorHAnsi" w:cstheme="majorHAnsi"/>
          <w:sz w:val="16"/>
          <w:szCs w:val="16"/>
          <w:lang w:val="en-US"/>
        </w:rPr>
        <w:t xml:space="preserve"> Size of CO2 reduction targets shown above are the differences from those made in FY2021</w:t>
      </w:r>
    </w:p>
    <w:p w14:paraId="4D6348A0" w14:textId="77777777"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5</w:t>
      </w:r>
      <w:r w:rsidRPr="006B7245">
        <w:rPr>
          <w:rFonts w:asciiTheme="majorHAnsi" w:hAnsiTheme="majorHAnsi" w:cstheme="majorHAnsi"/>
          <w:sz w:val="16"/>
          <w:szCs w:val="16"/>
          <w:lang w:val="en-US"/>
        </w:rPr>
        <w:t xml:space="preserve"> CE: Circular Economy</w:t>
      </w:r>
    </w:p>
    <w:p w14:paraId="74E5FA50" w14:textId="77777777" w:rsidR="006B7245" w:rsidRPr="006B7245" w:rsidRDefault="006B7245" w:rsidP="006B7245">
      <w:pPr>
        <w:autoSpaceDE w:val="0"/>
        <w:autoSpaceDN w:val="0"/>
        <w:adjustRightInd w:val="0"/>
        <w:spacing w:after="0" w:line="240" w:lineRule="auto"/>
        <w:rPr>
          <w:rFonts w:asciiTheme="majorHAnsi" w:hAnsiTheme="majorHAnsi" w:cstheme="majorHAnsi"/>
          <w:sz w:val="16"/>
          <w:szCs w:val="16"/>
          <w:lang w:val="en-US"/>
        </w:rPr>
      </w:pPr>
      <w:r w:rsidRPr="006B7245">
        <w:rPr>
          <w:rFonts w:asciiTheme="majorHAnsi" w:hAnsiTheme="majorHAnsi" w:cstheme="majorHAnsi"/>
          <w:sz w:val="16"/>
          <w:szCs w:val="16"/>
          <w:vertAlign w:val="superscript"/>
          <w:lang w:val="en-US"/>
        </w:rPr>
        <w:t>6</w:t>
      </w:r>
      <w:r w:rsidRPr="006B7245">
        <w:rPr>
          <w:rFonts w:asciiTheme="majorHAnsi" w:hAnsiTheme="majorHAnsi" w:cstheme="majorHAnsi"/>
          <w:sz w:val="16"/>
          <w:szCs w:val="16"/>
          <w:lang w:val="en-US"/>
        </w:rPr>
        <w:t xml:space="preserve"> “3-year sum”: FY2020-FY2022 cumulative results / FY2023-FY2025 cumulative targets</w:t>
      </w:r>
    </w:p>
    <w:p w14:paraId="2B985059" w14:textId="77777777" w:rsidR="001C585E" w:rsidRDefault="001C585E" w:rsidP="006B7245">
      <w:pPr>
        <w:autoSpaceDE w:val="0"/>
        <w:autoSpaceDN w:val="0"/>
        <w:adjustRightInd w:val="0"/>
        <w:rPr>
          <w:rFonts w:asciiTheme="majorHAnsi" w:hAnsiTheme="majorHAnsi" w:cstheme="majorHAnsi"/>
          <w:lang w:val="en-US"/>
        </w:rPr>
      </w:pPr>
    </w:p>
    <w:p w14:paraId="3CFF4C61" w14:textId="79C23C82" w:rsidR="006572B3" w:rsidRPr="006B7245" w:rsidRDefault="00F56B3E" w:rsidP="006B7245">
      <w:pPr>
        <w:autoSpaceDE w:val="0"/>
        <w:autoSpaceDN w:val="0"/>
        <w:adjustRightInd w:val="0"/>
        <w:rPr>
          <w:rFonts w:asciiTheme="majorHAnsi" w:hAnsiTheme="majorHAnsi" w:cstheme="majorHAnsi"/>
          <w:lang w:val="en-US"/>
        </w:rPr>
      </w:pPr>
      <w:r w:rsidRPr="00F56B3E">
        <w:rPr>
          <w:rFonts w:asciiTheme="majorHAnsi" w:hAnsiTheme="majorHAnsi" w:cstheme="majorHAnsi"/>
          <w:lang w:val="en-US"/>
        </w:rPr>
        <w:t xml:space="preserve">For more information about Panasonic at IFA 2022 please visit </w:t>
      </w:r>
      <w:hyperlink r:id="rId15" w:history="1">
        <w:r w:rsidRPr="00F56B3E">
          <w:rPr>
            <w:rStyle w:val="Hyperlink"/>
            <w:rFonts w:asciiTheme="majorHAnsi" w:hAnsiTheme="majorHAnsi" w:cstheme="majorHAnsi"/>
            <w:lang w:val="en-US"/>
          </w:rPr>
          <w:t>www.panasonic.com/IFA2022</w:t>
        </w:r>
      </w:hyperlink>
      <w:r w:rsidRPr="00F56B3E">
        <w:rPr>
          <w:rFonts w:asciiTheme="majorHAnsi" w:hAnsiTheme="majorHAnsi" w:cstheme="majorHAnsi"/>
          <w:lang w:val="en-US"/>
        </w:rPr>
        <w:t xml:space="preserve">  </w:t>
      </w:r>
      <w:r w:rsidR="00756350">
        <w:rPr>
          <w:b/>
          <w:sz w:val="28"/>
          <w:lang w:val="en-US"/>
        </w:rPr>
        <w:br/>
      </w:r>
    </w:p>
    <w:p w14:paraId="181E159F" w14:textId="2D3160E9" w:rsidR="00613B84" w:rsidRPr="00782DF5" w:rsidRDefault="00782DF5" w:rsidP="00DC44A2">
      <w:pPr>
        <w:pStyle w:val="berschrift3"/>
        <w:rPr>
          <w:lang w:val="en-GB"/>
        </w:rPr>
      </w:pPr>
      <w:r w:rsidRPr="00782DF5">
        <w:rPr>
          <w:lang w:val="en-GB"/>
        </w:rPr>
        <w:t>About</w:t>
      </w:r>
      <w:r w:rsidR="00BA1FEB">
        <w:rPr>
          <w:lang w:val="en-GB"/>
        </w:rPr>
        <w:t xml:space="preserve"> the</w:t>
      </w:r>
      <w:r w:rsidRPr="00782DF5">
        <w:rPr>
          <w:lang w:val="en-GB"/>
        </w:rPr>
        <w:t xml:space="preserve"> Panasonic</w:t>
      </w:r>
      <w:r w:rsidR="00BA1FEB">
        <w:rPr>
          <w:lang w:val="en-GB"/>
        </w:rPr>
        <w:t xml:space="preserve"> Group</w:t>
      </w:r>
    </w:p>
    <w:p w14:paraId="35BAC45B" w14:textId="112F5F56" w:rsidR="000731B7" w:rsidRPr="00C35141" w:rsidRDefault="00BA1FEB" w:rsidP="00BA1FEB">
      <w:pPr>
        <w:rPr>
          <w:rFonts w:ascii="Arial" w:hAnsi="Arial" w:cs="Arial"/>
          <w:bCs/>
          <w:lang w:val="en-US"/>
        </w:rPr>
      </w:pPr>
      <w:r w:rsidRPr="00BA1FEB">
        <w:rPr>
          <w:rFonts w:ascii="Arial" w:hAnsi="Arial" w:cs="Arial"/>
          <w:bCs/>
          <w:lang w:val="en-US"/>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BA1FEB">
        <w:rPr>
          <w:rFonts w:ascii="Arial" w:hAnsi="Arial" w:cs="Arial"/>
          <w:bCs/>
          <w:lang w:val="en-US"/>
        </w:rPr>
        <w:br/>
        <w:t xml:space="preserve">To learn more about the Panasonic Group, please visit: </w:t>
      </w:r>
      <w:hyperlink r:id="rId16" w:history="1">
        <w:r w:rsidRPr="00BA1FEB">
          <w:rPr>
            <w:rStyle w:val="Hyperlink"/>
            <w:rFonts w:ascii="Arial" w:hAnsi="Arial" w:cs="Arial"/>
            <w:bCs/>
            <w:lang w:val="en-US"/>
          </w:rPr>
          <w:t>https://holdings.panasonic/global/</w:t>
        </w:r>
      </w:hyperlink>
    </w:p>
    <w:p w14:paraId="16910A97" w14:textId="77777777" w:rsidR="00C35141" w:rsidRPr="00D31183" w:rsidRDefault="00C35141" w:rsidP="00C35141">
      <w:pPr>
        <w:pStyle w:val="StandardWeb"/>
        <w:spacing w:before="0" w:beforeAutospacing="0" w:after="0" w:afterAutospacing="0"/>
        <w:ind w:right="13"/>
        <w:rPr>
          <w:rStyle w:val="Fett"/>
          <w:rFonts w:asciiTheme="majorHAnsi" w:hAnsiTheme="majorHAnsi" w:cstheme="majorHAnsi"/>
          <w:sz w:val="22"/>
          <w:szCs w:val="22"/>
          <w:lang w:val="en-GB"/>
        </w:rPr>
      </w:pPr>
    </w:p>
    <w:p w14:paraId="6140E21D" w14:textId="0FC4E84B" w:rsidR="00C35141" w:rsidRPr="001C585E" w:rsidRDefault="00C35141" w:rsidP="001C585E">
      <w:pPr>
        <w:rPr>
          <w:rFonts w:ascii="Times New Roman" w:eastAsia="Times New Roman" w:hAnsi="Times New Roman" w:cs="Times New Roman"/>
          <w:sz w:val="24"/>
          <w:szCs w:val="24"/>
          <w:lang w:eastAsia="de-DE"/>
        </w:rPr>
      </w:pPr>
      <w:r w:rsidRPr="00C35141">
        <w:rPr>
          <w:rStyle w:val="Fett"/>
          <w:rFonts w:asciiTheme="majorHAnsi" w:hAnsiTheme="majorHAnsi" w:cstheme="majorHAnsi"/>
          <w:lang w:val="fr-FR"/>
        </w:rPr>
        <w:t xml:space="preserve">Media </w:t>
      </w:r>
      <w:r w:rsidR="001C58DE">
        <w:rPr>
          <w:rStyle w:val="Fett"/>
          <w:rFonts w:asciiTheme="majorHAnsi" w:hAnsiTheme="majorHAnsi" w:cstheme="majorHAnsi"/>
          <w:lang w:val="fr-FR"/>
        </w:rPr>
        <w:t>C</w:t>
      </w:r>
      <w:r w:rsidR="001C58DE" w:rsidRPr="00C35141">
        <w:rPr>
          <w:rStyle w:val="Fett"/>
          <w:rFonts w:asciiTheme="majorHAnsi" w:hAnsiTheme="majorHAnsi" w:cstheme="majorHAnsi"/>
          <w:lang w:val="fr-FR"/>
        </w:rPr>
        <w:t>ontact</w:t>
      </w:r>
      <w:r w:rsidRPr="00C35141">
        <w:rPr>
          <w:rFonts w:asciiTheme="majorHAnsi" w:hAnsiTheme="majorHAnsi" w:cstheme="majorHAnsi"/>
          <w:lang w:val="fr-FR"/>
        </w:rPr>
        <w:br/>
      </w:r>
      <w:r w:rsidR="001C585E">
        <w:rPr>
          <w:rFonts w:asciiTheme="majorHAnsi" w:hAnsiTheme="majorHAnsi" w:cstheme="majorHAnsi"/>
          <w:lang w:val="fr-FR"/>
        </w:rPr>
        <w:t xml:space="preserve">Michael </w:t>
      </w:r>
      <w:proofErr w:type="spellStart"/>
      <w:r w:rsidR="001C585E">
        <w:rPr>
          <w:rFonts w:asciiTheme="majorHAnsi" w:hAnsiTheme="majorHAnsi" w:cstheme="majorHAnsi"/>
          <w:lang w:val="fr-FR"/>
        </w:rPr>
        <w:t>Langbehn</w:t>
      </w:r>
      <w:proofErr w:type="spellEnd"/>
      <w:r w:rsidRPr="00C35141">
        <w:rPr>
          <w:rFonts w:asciiTheme="majorHAnsi" w:hAnsiTheme="majorHAnsi" w:cstheme="majorHAnsi"/>
          <w:lang w:val="fr-FR"/>
        </w:rPr>
        <w:br/>
      </w:r>
      <w:r w:rsidR="001C585E">
        <w:rPr>
          <w:rFonts w:asciiTheme="majorHAnsi" w:hAnsiTheme="majorHAnsi" w:cstheme="majorHAnsi"/>
          <w:lang w:val="fr-FR"/>
        </w:rPr>
        <w:t xml:space="preserve">+49 </w:t>
      </w:r>
      <w:r w:rsidR="001C585E" w:rsidRPr="001C585E">
        <w:rPr>
          <w:rFonts w:asciiTheme="majorHAnsi" w:hAnsiTheme="majorHAnsi" w:cstheme="majorHAnsi"/>
          <w:lang w:val="fr-FR"/>
        </w:rPr>
        <w:t>40</w:t>
      </w:r>
      <w:r w:rsidR="001C585E">
        <w:rPr>
          <w:rFonts w:asciiTheme="majorHAnsi" w:hAnsiTheme="majorHAnsi" w:cstheme="majorHAnsi"/>
          <w:lang w:val="fr-FR"/>
        </w:rPr>
        <w:t xml:space="preserve"> </w:t>
      </w:r>
      <w:r w:rsidR="001C585E" w:rsidRPr="001C585E">
        <w:rPr>
          <w:rFonts w:asciiTheme="majorHAnsi" w:hAnsiTheme="majorHAnsi" w:cstheme="majorHAnsi"/>
          <w:lang w:val="fr-FR"/>
        </w:rPr>
        <w:t>8549</w:t>
      </w:r>
      <w:r w:rsidR="001C585E">
        <w:rPr>
          <w:rFonts w:asciiTheme="majorHAnsi" w:hAnsiTheme="majorHAnsi" w:cstheme="majorHAnsi"/>
          <w:lang w:val="fr-FR"/>
        </w:rPr>
        <w:t xml:space="preserve"> </w:t>
      </w:r>
      <w:r w:rsidR="001C585E" w:rsidRPr="001C585E">
        <w:rPr>
          <w:rFonts w:asciiTheme="majorHAnsi" w:hAnsiTheme="majorHAnsi" w:cstheme="majorHAnsi"/>
          <w:lang w:val="fr-FR"/>
        </w:rPr>
        <w:t>0</w:t>
      </w:r>
      <w:r w:rsidRPr="00C35141">
        <w:rPr>
          <w:rFonts w:asciiTheme="majorHAnsi" w:hAnsiTheme="majorHAnsi" w:cstheme="majorHAnsi"/>
          <w:lang w:val="fr-FR"/>
        </w:rPr>
        <w:br/>
      </w:r>
      <w:hyperlink r:id="rId17" w:history="1">
        <w:r w:rsidR="001C585E" w:rsidRPr="00BC7200">
          <w:rPr>
            <w:rStyle w:val="Hyperlink"/>
            <w:rFonts w:asciiTheme="majorHAnsi" w:eastAsiaTheme="minorEastAsia" w:hAnsiTheme="majorHAnsi" w:cstheme="majorHAnsi"/>
            <w:lang w:val="fr-FR"/>
          </w:rPr>
          <w:t>presse.kontakt@eu.panasonic.com</w:t>
        </w:r>
      </w:hyperlink>
      <w:r w:rsidR="001C585E">
        <w:rPr>
          <w:rFonts w:asciiTheme="majorHAnsi" w:hAnsiTheme="majorHAnsi" w:cstheme="majorHAnsi"/>
          <w:lang w:val="fr-FR"/>
        </w:rPr>
        <w:t xml:space="preserve"> </w:t>
      </w:r>
    </w:p>
    <w:sectPr w:rsidR="00C35141" w:rsidRPr="001C585E" w:rsidSect="006B7245">
      <w:headerReference w:type="even" r:id="rId18"/>
      <w:headerReference w:type="default" r:id="rId19"/>
      <w:footerReference w:type="even" r:id="rId20"/>
      <w:footerReference w:type="default" r:id="rId21"/>
      <w:headerReference w:type="first" r:id="rId22"/>
      <w:footerReference w:type="first" r:id="rId23"/>
      <w:pgSz w:w="11906" w:h="16838"/>
      <w:pgMar w:top="2268" w:right="1134"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53AE" w14:textId="77777777" w:rsidR="00D05974" w:rsidRDefault="00D05974" w:rsidP="00202DB5">
      <w:pPr>
        <w:spacing w:after="0" w:line="240" w:lineRule="auto"/>
      </w:pPr>
      <w:r>
        <w:separator/>
      </w:r>
    </w:p>
  </w:endnote>
  <w:endnote w:type="continuationSeparator" w:id="0">
    <w:p w14:paraId="46849562" w14:textId="77777777" w:rsidR="00D05974" w:rsidRDefault="00D05974" w:rsidP="0020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Medium">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769C" w14:textId="77777777" w:rsidR="00C359E6" w:rsidRDefault="00C359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84C9" w14:textId="7CEC31E3" w:rsidR="00CB14B3" w:rsidRPr="00314E7A" w:rsidRDefault="00CB14B3" w:rsidP="00FD5D7C">
    <w:pPr>
      <w:pStyle w:val="Fuzeile"/>
      <w:rPr>
        <w:sz w:val="16"/>
        <w:szCs w:val="16"/>
      </w:rPr>
    </w:pPr>
    <w:r w:rsidRPr="00FD5D7C">
      <w:fldChar w:fldCharType="begin"/>
    </w:r>
    <w:r w:rsidRPr="00FD5D7C">
      <w:instrText xml:space="preserve"> PAGE   \* MERGEFORMAT </w:instrText>
    </w:r>
    <w:r w:rsidRPr="00FD5D7C">
      <w:fldChar w:fldCharType="separate"/>
    </w:r>
    <w:r w:rsidR="001451F1">
      <w:rPr>
        <w:noProof/>
      </w:rPr>
      <w:t>3</w:t>
    </w:r>
    <w:r w:rsidRPr="00FD5D7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4F5" w14:textId="77777777" w:rsidR="00C359E6" w:rsidRDefault="00C35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85B1" w14:textId="77777777" w:rsidR="00D05974" w:rsidRDefault="00D05974" w:rsidP="00202DB5">
      <w:pPr>
        <w:spacing w:after="0" w:line="240" w:lineRule="auto"/>
      </w:pPr>
      <w:r>
        <w:separator/>
      </w:r>
    </w:p>
  </w:footnote>
  <w:footnote w:type="continuationSeparator" w:id="0">
    <w:p w14:paraId="5038C0D9" w14:textId="77777777" w:rsidR="00D05974" w:rsidRDefault="00D05974" w:rsidP="0020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40A7" w14:textId="77777777" w:rsidR="00C359E6" w:rsidRDefault="00C359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B8AC" w14:textId="33944FF3" w:rsidR="006811C7" w:rsidRPr="00D31183" w:rsidRDefault="00CB14B3" w:rsidP="006811C7">
    <w:pPr>
      <w:jc w:val="right"/>
      <w:rPr>
        <w:b/>
        <w:bCs/>
        <w:color w:val="FF0000"/>
        <w:lang w:val="en-GB"/>
      </w:rPr>
    </w:pPr>
    <w:r w:rsidRPr="006811C7">
      <w:rPr>
        <w:b/>
        <w:bCs/>
        <w:noProof/>
        <w:color w:val="FF0000"/>
        <w:lang w:val="en-US" w:eastAsia="ja-JP"/>
      </w:rPr>
      <w:drawing>
        <wp:anchor distT="152400" distB="152400" distL="152400" distR="152400" simplePos="0" relativeHeight="251663360" behindDoc="1" locked="0" layoutInCell="1" allowOverlap="1" wp14:anchorId="0E7F39E0" wp14:editId="41DBFAFA">
          <wp:simplePos x="0" y="0"/>
          <wp:positionH relativeFrom="page">
            <wp:posOffset>266065</wp:posOffset>
          </wp:positionH>
          <wp:positionV relativeFrom="page">
            <wp:posOffset>449636</wp:posOffset>
          </wp:positionV>
          <wp:extent cx="1764000" cy="333530"/>
          <wp:effectExtent l="0" t="0" r="8255" b="9525"/>
          <wp:wrapNone/>
          <wp:docPr id="8" name="officeArt object"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
                  <a:stretch>
                    <a:fillRect/>
                  </a:stretch>
                </pic:blipFill>
                <pic:spPr>
                  <a:xfrm>
                    <a:off x="0" y="0"/>
                    <a:ext cx="1764000" cy="333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11C7" w:rsidRPr="00D31183">
      <w:rPr>
        <w:b/>
        <w:bCs/>
        <w:color w:val="FF0000"/>
        <w:lang w:val="en-GB"/>
      </w:rPr>
      <w:t>+ + + CONFIDENTIAL: Embargo date 31 Aug 2022, 4pm (CE</w:t>
    </w:r>
    <w:r w:rsidR="0004669C">
      <w:rPr>
        <w:b/>
        <w:bCs/>
        <w:color w:val="FF0000"/>
        <w:lang w:val="en-GB"/>
      </w:rPr>
      <w:t>S</w:t>
    </w:r>
    <w:r w:rsidR="006811C7" w:rsidRPr="00D31183">
      <w:rPr>
        <w:b/>
        <w:bCs/>
        <w:color w:val="FF0000"/>
        <w:lang w:val="en-GB"/>
      </w:rPr>
      <w:t>T) + + +</w:t>
    </w:r>
  </w:p>
  <w:p w14:paraId="179F7CF3" w14:textId="77777777" w:rsidR="00CB14B3" w:rsidRDefault="00CB14B3">
    <w:r>
      <w:rPr>
        <w:noProof/>
        <w:lang w:val="en-US" w:eastAsia="ja-JP"/>
      </w:rPr>
      <w:drawing>
        <wp:anchor distT="152400" distB="152400" distL="152400" distR="152400" simplePos="0" relativeHeight="251664384" behindDoc="1" locked="0" layoutInCell="1" allowOverlap="1" wp14:anchorId="2F380FEE" wp14:editId="6DB57442">
          <wp:simplePos x="0" y="0"/>
          <wp:positionH relativeFrom="page">
            <wp:posOffset>-95250</wp:posOffset>
          </wp:positionH>
          <wp:positionV relativeFrom="page">
            <wp:posOffset>968375</wp:posOffset>
          </wp:positionV>
          <wp:extent cx="7751927" cy="8917200"/>
          <wp:effectExtent l="63500" t="12700" r="59055" b="113030"/>
          <wp:wrapNone/>
          <wp:docPr id="9" name="officeArt object" descr="bkg weiss"/>
          <wp:cNvGraphicFramePr/>
          <a:graphic xmlns:a="http://schemas.openxmlformats.org/drawingml/2006/main">
            <a:graphicData uri="http://schemas.openxmlformats.org/drawingml/2006/picture">
              <pic:pic xmlns:pic="http://schemas.openxmlformats.org/drawingml/2006/picture">
                <pic:nvPicPr>
                  <pic:cNvPr id="1073741825" name="bkg weiss" descr="bkg weiss"/>
                  <pic:cNvPicPr>
                    <a:picLocks noChangeAspect="1"/>
                  </pic:cNvPicPr>
                </pic:nvPicPr>
                <pic:blipFill>
                  <a:blip r:embed="rId2"/>
                  <a:stretch>
                    <a:fillRect/>
                  </a:stretch>
                </pic:blipFill>
                <pic:spPr>
                  <a:xfrm>
                    <a:off x="0" y="0"/>
                    <a:ext cx="7751927" cy="8917200"/>
                  </a:xfrm>
                  <a:prstGeom prst="rect">
                    <a:avLst/>
                  </a:prstGeom>
                  <a:ln w="12700" cap="flat">
                    <a:solidFill>
                      <a:schemeClr val="tx1"/>
                    </a:solidFill>
                    <a:miter lim="400000"/>
                  </a:ln>
                  <a:effectLst>
                    <a:outerShdw blurRad="50800" dist="50800" dir="5400000" algn="ctr" rotWithShape="0">
                      <a:srgbClr val="000000">
                        <a:alpha val="99610"/>
                      </a:srgbClr>
                    </a:outerShdw>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DAA4" w14:textId="77777777" w:rsidR="00C359E6" w:rsidRDefault="00C359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75A7F"/>
    <w:multiLevelType w:val="hybridMultilevel"/>
    <w:tmpl w:val="DE4E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352639"/>
    <w:multiLevelType w:val="hybridMultilevel"/>
    <w:tmpl w:val="F4B215CE"/>
    <w:lvl w:ilvl="0" w:tplc="E36093BA">
      <w:start w:val="1"/>
      <w:numFmt w:val="bullet"/>
      <w:pStyle w:val="Listenabsatz"/>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832235">
    <w:abstractNumId w:val="1"/>
  </w:num>
  <w:num w:numId="2" w16cid:durableId="1088500275">
    <w:abstractNumId w:val="4"/>
  </w:num>
  <w:num w:numId="3" w16cid:durableId="1253205215">
    <w:abstractNumId w:val="11"/>
  </w:num>
  <w:num w:numId="4" w16cid:durableId="77212741">
    <w:abstractNumId w:val="5"/>
  </w:num>
  <w:num w:numId="5" w16cid:durableId="1057509760">
    <w:abstractNumId w:val="12"/>
  </w:num>
  <w:num w:numId="6" w16cid:durableId="668483831">
    <w:abstractNumId w:val="7"/>
  </w:num>
  <w:num w:numId="7" w16cid:durableId="316494407">
    <w:abstractNumId w:val="0"/>
  </w:num>
  <w:num w:numId="8" w16cid:durableId="517044046">
    <w:abstractNumId w:val="9"/>
  </w:num>
  <w:num w:numId="9" w16cid:durableId="189606898">
    <w:abstractNumId w:val="6"/>
  </w:num>
  <w:num w:numId="10" w16cid:durableId="764813063">
    <w:abstractNumId w:val="3"/>
  </w:num>
  <w:num w:numId="11" w16cid:durableId="1697995751">
    <w:abstractNumId w:val="8"/>
  </w:num>
  <w:num w:numId="12" w16cid:durableId="1608467479">
    <w:abstractNumId w:val="10"/>
  </w:num>
  <w:num w:numId="13" w16cid:durableId="118740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708"/>
  <w:hyphenationZone w:val="425"/>
  <w:drawingGridHorizontalSpacing w:val="181"/>
  <w:drawingGridVerticalSpacing w:val="18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38"/>
    <w:rsid w:val="000101F4"/>
    <w:rsid w:val="00014BFF"/>
    <w:rsid w:val="000177F0"/>
    <w:rsid w:val="00027EEF"/>
    <w:rsid w:val="00034442"/>
    <w:rsid w:val="000347CA"/>
    <w:rsid w:val="0003540B"/>
    <w:rsid w:val="00036641"/>
    <w:rsid w:val="000421CB"/>
    <w:rsid w:val="0004669C"/>
    <w:rsid w:val="00050048"/>
    <w:rsid w:val="000615E3"/>
    <w:rsid w:val="00061F92"/>
    <w:rsid w:val="000731B7"/>
    <w:rsid w:val="000876C6"/>
    <w:rsid w:val="000957F7"/>
    <w:rsid w:val="000966BA"/>
    <w:rsid w:val="00096951"/>
    <w:rsid w:val="000A08E6"/>
    <w:rsid w:val="000A166C"/>
    <w:rsid w:val="000A3FFC"/>
    <w:rsid w:val="000C39C1"/>
    <w:rsid w:val="000D58BC"/>
    <w:rsid w:val="000E2BEB"/>
    <w:rsid w:val="000F059F"/>
    <w:rsid w:val="000F7CEF"/>
    <w:rsid w:val="00105216"/>
    <w:rsid w:val="00122A7D"/>
    <w:rsid w:val="00130C7B"/>
    <w:rsid w:val="00135A78"/>
    <w:rsid w:val="00143B2D"/>
    <w:rsid w:val="001451F1"/>
    <w:rsid w:val="00147319"/>
    <w:rsid w:val="0015147F"/>
    <w:rsid w:val="00152376"/>
    <w:rsid w:val="00156937"/>
    <w:rsid w:val="00163575"/>
    <w:rsid w:val="00181524"/>
    <w:rsid w:val="00186D37"/>
    <w:rsid w:val="00197D68"/>
    <w:rsid w:val="001A2FB0"/>
    <w:rsid w:val="001C0854"/>
    <w:rsid w:val="001C585E"/>
    <w:rsid w:val="001C58DE"/>
    <w:rsid w:val="001C58E6"/>
    <w:rsid w:val="001C6420"/>
    <w:rsid w:val="001E6198"/>
    <w:rsid w:val="001E6F94"/>
    <w:rsid w:val="001F2400"/>
    <w:rsid w:val="00202DB5"/>
    <w:rsid w:val="00213EE9"/>
    <w:rsid w:val="00232184"/>
    <w:rsid w:val="00243148"/>
    <w:rsid w:val="0025022E"/>
    <w:rsid w:val="00261ACB"/>
    <w:rsid w:val="00261B1D"/>
    <w:rsid w:val="0026264C"/>
    <w:rsid w:val="00265D2C"/>
    <w:rsid w:val="0026749C"/>
    <w:rsid w:val="00274C6F"/>
    <w:rsid w:val="0027585C"/>
    <w:rsid w:val="0027594F"/>
    <w:rsid w:val="0028106F"/>
    <w:rsid w:val="00286038"/>
    <w:rsid w:val="002909A7"/>
    <w:rsid w:val="00294A3F"/>
    <w:rsid w:val="002957C7"/>
    <w:rsid w:val="002B0C51"/>
    <w:rsid w:val="002C0305"/>
    <w:rsid w:val="002C1770"/>
    <w:rsid w:val="002C36CE"/>
    <w:rsid w:val="002C7E8C"/>
    <w:rsid w:val="002D6924"/>
    <w:rsid w:val="002E32B8"/>
    <w:rsid w:val="002E43CA"/>
    <w:rsid w:val="002E48BE"/>
    <w:rsid w:val="002F438E"/>
    <w:rsid w:val="0030730E"/>
    <w:rsid w:val="00314E7A"/>
    <w:rsid w:val="00316B27"/>
    <w:rsid w:val="00323ABD"/>
    <w:rsid w:val="0035010F"/>
    <w:rsid w:val="0035081C"/>
    <w:rsid w:val="003628B9"/>
    <w:rsid w:val="003851A8"/>
    <w:rsid w:val="00387D72"/>
    <w:rsid w:val="00392E9E"/>
    <w:rsid w:val="003A17EB"/>
    <w:rsid w:val="003A3383"/>
    <w:rsid w:val="003B238E"/>
    <w:rsid w:val="003C0A8B"/>
    <w:rsid w:val="003D1DE4"/>
    <w:rsid w:val="003D70F2"/>
    <w:rsid w:val="003F7081"/>
    <w:rsid w:val="00423078"/>
    <w:rsid w:val="004263DE"/>
    <w:rsid w:val="004450B7"/>
    <w:rsid w:val="00451DC9"/>
    <w:rsid w:val="00463A81"/>
    <w:rsid w:val="00470574"/>
    <w:rsid w:val="00474939"/>
    <w:rsid w:val="00480A9D"/>
    <w:rsid w:val="004A35C9"/>
    <w:rsid w:val="004D1458"/>
    <w:rsid w:val="004D23E2"/>
    <w:rsid w:val="0050042F"/>
    <w:rsid w:val="0052037C"/>
    <w:rsid w:val="00535DD8"/>
    <w:rsid w:val="005360C5"/>
    <w:rsid w:val="005426EE"/>
    <w:rsid w:val="00546E2C"/>
    <w:rsid w:val="005617F5"/>
    <w:rsid w:val="00565025"/>
    <w:rsid w:val="00583A83"/>
    <w:rsid w:val="00592753"/>
    <w:rsid w:val="00594ED7"/>
    <w:rsid w:val="005B1CCA"/>
    <w:rsid w:val="005C38CB"/>
    <w:rsid w:val="005E2CF6"/>
    <w:rsid w:val="005E6330"/>
    <w:rsid w:val="00600610"/>
    <w:rsid w:val="006061E9"/>
    <w:rsid w:val="0060709A"/>
    <w:rsid w:val="00610A7B"/>
    <w:rsid w:val="00613B84"/>
    <w:rsid w:val="00616A07"/>
    <w:rsid w:val="006251C7"/>
    <w:rsid w:val="006302FE"/>
    <w:rsid w:val="00630642"/>
    <w:rsid w:val="00646E17"/>
    <w:rsid w:val="00651CCD"/>
    <w:rsid w:val="00652AF7"/>
    <w:rsid w:val="006572B3"/>
    <w:rsid w:val="006623DD"/>
    <w:rsid w:val="0067196F"/>
    <w:rsid w:val="00675EFB"/>
    <w:rsid w:val="006811C7"/>
    <w:rsid w:val="00696751"/>
    <w:rsid w:val="006A30EA"/>
    <w:rsid w:val="006A4D3C"/>
    <w:rsid w:val="006B2BD2"/>
    <w:rsid w:val="006B48B4"/>
    <w:rsid w:val="006B7245"/>
    <w:rsid w:val="006C24D5"/>
    <w:rsid w:val="006D772E"/>
    <w:rsid w:val="006E57C2"/>
    <w:rsid w:val="006E596A"/>
    <w:rsid w:val="006F4F9C"/>
    <w:rsid w:val="00703819"/>
    <w:rsid w:val="00711E4D"/>
    <w:rsid w:val="0071484E"/>
    <w:rsid w:val="00715FA5"/>
    <w:rsid w:val="00720BFB"/>
    <w:rsid w:val="00721A51"/>
    <w:rsid w:val="007242F9"/>
    <w:rsid w:val="00735EDE"/>
    <w:rsid w:val="00745A4D"/>
    <w:rsid w:val="00751C8C"/>
    <w:rsid w:val="00756350"/>
    <w:rsid w:val="007607D8"/>
    <w:rsid w:val="0076171E"/>
    <w:rsid w:val="00762E0D"/>
    <w:rsid w:val="00770EE9"/>
    <w:rsid w:val="00782DF5"/>
    <w:rsid w:val="00793D51"/>
    <w:rsid w:val="00795192"/>
    <w:rsid w:val="007A416D"/>
    <w:rsid w:val="007B3C90"/>
    <w:rsid w:val="007C16E7"/>
    <w:rsid w:val="007C2ECF"/>
    <w:rsid w:val="007C5D6F"/>
    <w:rsid w:val="007D294F"/>
    <w:rsid w:val="007E33F2"/>
    <w:rsid w:val="007E467E"/>
    <w:rsid w:val="007F0432"/>
    <w:rsid w:val="007F3E2F"/>
    <w:rsid w:val="00803CD4"/>
    <w:rsid w:val="00806E82"/>
    <w:rsid w:val="00820FFC"/>
    <w:rsid w:val="00822480"/>
    <w:rsid w:val="00826284"/>
    <w:rsid w:val="00864C2B"/>
    <w:rsid w:val="0086616A"/>
    <w:rsid w:val="008675C9"/>
    <w:rsid w:val="00874529"/>
    <w:rsid w:val="00894E67"/>
    <w:rsid w:val="008A3FC8"/>
    <w:rsid w:val="008B276A"/>
    <w:rsid w:val="008B536F"/>
    <w:rsid w:val="008D7288"/>
    <w:rsid w:val="008E4385"/>
    <w:rsid w:val="008E72B6"/>
    <w:rsid w:val="008F1013"/>
    <w:rsid w:val="008F6A7C"/>
    <w:rsid w:val="00902DC3"/>
    <w:rsid w:val="00915B3F"/>
    <w:rsid w:val="00941A01"/>
    <w:rsid w:val="009446A2"/>
    <w:rsid w:val="00945078"/>
    <w:rsid w:val="009602D4"/>
    <w:rsid w:val="00974421"/>
    <w:rsid w:val="00982102"/>
    <w:rsid w:val="009847D2"/>
    <w:rsid w:val="009848B9"/>
    <w:rsid w:val="00984BA6"/>
    <w:rsid w:val="009958CC"/>
    <w:rsid w:val="009959B5"/>
    <w:rsid w:val="009A3C8E"/>
    <w:rsid w:val="009B33DE"/>
    <w:rsid w:val="009C2F13"/>
    <w:rsid w:val="009D4180"/>
    <w:rsid w:val="009F7CD8"/>
    <w:rsid w:val="00A06F2A"/>
    <w:rsid w:val="00A11FE4"/>
    <w:rsid w:val="00A17370"/>
    <w:rsid w:val="00A25594"/>
    <w:rsid w:val="00A36932"/>
    <w:rsid w:val="00A56761"/>
    <w:rsid w:val="00A67C43"/>
    <w:rsid w:val="00A7027E"/>
    <w:rsid w:val="00A7226C"/>
    <w:rsid w:val="00A94656"/>
    <w:rsid w:val="00A9483A"/>
    <w:rsid w:val="00A9502C"/>
    <w:rsid w:val="00AC6973"/>
    <w:rsid w:val="00AC6CBA"/>
    <w:rsid w:val="00AD2313"/>
    <w:rsid w:val="00AD29D1"/>
    <w:rsid w:val="00AD4F79"/>
    <w:rsid w:val="00AE14AC"/>
    <w:rsid w:val="00AF06E6"/>
    <w:rsid w:val="00AF4A5E"/>
    <w:rsid w:val="00B06668"/>
    <w:rsid w:val="00B1456A"/>
    <w:rsid w:val="00B35A23"/>
    <w:rsid w:val="00B460FB"/>
    <w:rsid w:val="00B63C07"/>
    <w:rsid w:val="00B63E7A"/>
    <w:rsid w:val="00B74D43"/>
    <w:rsid w:val="00B765E1"/>
    <w:rsid w:val="00B76894"/>
    <w:rsid w:val="00B77F82"/>
    <w:rsid w:val="00B804DC"/>
    <w:rsid w:val="00B845A4"/>
    <w:rsid w:val="00B910ED"/>
    <w:rsid w:val="00B91161"/>
    <w:rsid w:val="00B93DCF"/>
    <w:rsid w:val="00BA1FEB"/>
    <w:rsid w:val="00BA7265"/>
    <w:rsid w:val="00BB0652"/>
    <w:rsid w:val="00BB5F21"/>
    <w:rsid w:val="00BC4DC8"/>
    <w:rsid w:val="00BC50D6"/>
    <w:rsid w:val="00BD438A"/>
    <w:rsid w:val="00BE62D7"/>
    <w:rsid w:val="00BF3831"/>
    <w:rsid w:val="00C02C12"/>
    <w:rsid w:val="00C25FF5"/>
    <w:rsid w:val="00C2792D"/>
    <w:rsid w:val="00C30BBE"/>
    <w:rsid w:val="00C32B78"/>
    <w:rsid w:val="00C334E5"/>
    <w:rsid w:val="00C34F2D"/>
    <w:rsid w:val="00C35141"/>
    <w:rsid w:val="00C359E6"/>
    <w:rsid w:val="00C54750"/>
    <w:rsid w:val="00C54A3F"/>
    <w:rsid w:val="00C5550D"/>
    <w:rsid w:val="00C81E61"/>
    <w:rsid w:val="00C87420"/>
    <w:rsid w:val="00C92A98"/>
    <w:rsid w:val="00CA3190"/>
    <w:rsid w:val="00CB14B3"/>
    <w:rsid w:val="00CB41FD"/>
    <w:rsid w:val="00CB7045"/>
    <w:rsid w:val="00CC605A"/>
    <w:rsid w:val="00CC7CBB"/>
    <w:rsid w:val="00CD341E"/>
    <w:rsid w:val="00CE57A4"/>
    <w:rsid w:val="00CF0BDD"/>
    <w:rsid w:val="00D05974"/>
    <w:rsid w:val="00D13AFA"/>
    <w:rsid w:val="00D31183"/>
    <w:rsid w:val="00D44BF5"/>
    <w:rsid w:val="00D45833"/>
    <w:rsid w:val="00D52C51"/>
    <w:rsid w:val="00D56C1F"/>
    <w:rsid w:val="00D615CE"/>
    <w:rsid w:val="00D64EA4"/>
    <w:rsid w:val="00D672B0"/>
    <w:rsid w:val="00D708CA"/>
    <w:rsid w:val="00DC44A2"/>
    <w:rsid w:val="00DE0497"/>
    <w:rsid w:val="00DE259A"/>
    <w:rsid w:val="00DE41AA"/>
    <w:rsid w:val="00DF70B8"/>
    <w:rsid w:val="00E055D2"/>
    <w:rsid w:val="00E3455D"/>
    <w:rsid w:val="00E401F6"/>
    <w:rsid w:val="00E44800"/>
    <w:rsid w:val="00E61535"/>
    <w:rsid w:val="00E7228B"/>
    <w:rsid w:val="00E759AE"/>
    <w:rsid w:val="00E75D76"/>
    <w:rsid w:val="00E76A7B"/>
    <w:rsid w:val="00E860F6"/>
    <w:rsid w:val="00EA3E58"/>
    <w:rsid w:val="00EA54FD"/>
    <w:rsid w:val="00EB0283"/>
    <w:rsid w:val="00EB7E90"/>
    <w:rsid w:val="00ED1D86"/>
    <w:rsid w:val="00ED302A"/>
    <w:rsid w:val="00ED6E2D"/>
    <w:rsid w:val="00EE1880"/>
    <w:rsid w:val="00EE2906"/>
    <w:rsid w:val="00EE3ACC"/>
    <w:rsid w:val="00EE5150"/>
    <w:rsid w:val="00EF3019"/>
    <w:rsid w:val="00F020A6"/>
    <w:rsid w:val="00F101EA"/>
    <w:rsid w:val="00F12864"/>
    <w:rsid w:val="00F15E9F"/>
    <w:rsid w:val="00F22971"/>
    <w:rsid w:val="00F22F2B"/>
    <w:rsid w:val="00F2397A"/>
    <w:rsid w:val="00F329F5"/>
    <w:rsid w:val="00F47DA2"/>
    <w:rsid w:val="00F5466D"/>
    <w:rsid w:val="00F56B3E"/>
    <w:rsid w:val="00F61072"/>
    <w:rsid w:val="00F64407"/>
    <w:rsid w:val="00F84A84"/>
    <w:rsid w:val="00F928ED"/>
    <w:rsid w:val="00F92A97"/>
    <w:rsid w:val="00FA1D24"/>
    <w:rsid w:val="00FB3E05"/>
    <w:rsid w:val="00FB40E8"/>
    <w:rsid w:val="00FB5D87"/>
    <w:rsid w:val="00FB7E60"/>
    <w:rsid w:val="00FC6FFB"/>
    <w:rsid w:val="00FD3C28"/>
    <w:rsid w:val="00FD5D7C"/>
    <w:rsid w:val="00FE030A"/>
    <w:rsid w:val="00FE091F"/>
    <w:rsid w:val="00FE61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A984DD56-8AAB-44FB-A26B-01EA298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after="0"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72"/>
    <w:qFormat/>
    <w:rsid w:val="00FD5D7C"/>
    <w:pPr>
      <w:numPr>
        <w:numId w:val="3"/>
      </w:numPr>
      <w:spacing w:after="120"/>
      <w:ind w:left="568" w:right="284" w:hanging="284"/>
      <w:contextualSpacing/>
    </w:pPr>
    <w:rPr>
      <w:lang w:val="en-US"/>
    </w:rPr>
  </w:style>
  <w:style w:type="character" w:customStyle="1" w:styleId="berschrift1Zchn">
    <w:name w:val="Überschrift 1 Zchn"/>
    <w:basedOn w:val="Absatz-Standardschriftart"/>
    <w:link w:val="berschrift1"/>
    <w:uiPriority w:val="9"/>
    <w:rsid w:val="00A94656"/>
    <w:rPr>
      <w:b/>
      <w:color w:val="808080" w:themeColor="background2"/>
      <w:sz w:val="36"/>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qFormat/>
    <w:rsid w:val="000876C6"/>
    <w:pPr>
      <w:spacing w:after="0"/>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ellenraster">
    <w:name w:val="Table Grid"/>
    <w:basedOn w:val="NormaleTabelle"/>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after="0" w:line="240" w:lineRule="auto"/>
    </w:pPr>
    <w:rPr>
      <w:rFonts w:ascii="Arial" w:hAnsi="Arial"/>
      <w:b/>
      <w:sz w:val="28"/>
      <w:lang w:val="en-GB"/>
    </w:rPr>
  </w:style>
  <w:style w:type="paragraph" w:styleId="Endnotentext">
    <w:name w:val="endnote text"/>
    <w:basedOn w:val="Standard"/>
    <w:link w:val="EndnotentextZchn"/>
    <w:uiPriority w:val="99"/>
    <w:semiHidden/>
    <w:unhideWhenUsed/>
    <w:rsid w:val="00ED302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link w:val="FunotentextZchn"/>
    <w:uiPriority w:val="99"/>
    <w:semiHidden/>
    <w:unhideWhenUsed/>
    <w:rsid w:val="00ED302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302A"/>
    <w:rPr>
      <w:sz w:val="20"/>
      <w:szCs w:val="20"/>
    </w:rPr>
  </w:style>
  <w:style w:type="character" w:styleId="Funotenzeichen">
    <w:name w:val="footnote reference"/>
    <w:basedOn w:val="Absatz-Standardschriftart"/>
    <w:uiPriority w:val="99"/>
    <w:semiHidden/>
    <w:unhideWhenUsed/>
    <w:rsid w:val="00ED302A"/>
    <w:rPr>
      <w:vertAlign w:val="superscript"/>
    </w:rPr>
  </w:style>
  <w:style w:type="character" w:styleId="Kommentarzeichen">
    <w:name w:val="annotation reference"/>
    <w:basedOn w:val="Absatz-Standardschriftart"/>
    <w:uiPriority w:val="99"/>
    <w:semiHidden/>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customStyle="1" w:styleId="KommentartextZchn">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customStyle="1" w:styleId="KommentarthemaZchn">
    <w:name w:val="Kommentarthema Zchn"/>
    <w:basedOn w:val="KommentartextZchn"/>
    <w:link w:val="Kommentarthema"/>
    <w:uiPriority w:val="99"/>
    <w:semiHidden/>
    <w:rsid w:val="00630642"/>
    <w:rPr>
      <w:b/>
      <w:bCs/>
    </w:rPr>
  </w:style>
  <w:style w:type="character" w:customStyle="1" w:styleId="NichtaufgelsteErwhnung1">
    <w:name w:val="Nicht aufgelöste Erwähnung1"/>
    <w:basedOn w:val="Absatz-Standardschriftart"/>
    <w:uiPriority w:val="99"/>
    <w:semiHidden/>
    <w:unhideWhenUsed/>
    <w:rsid w:val="000966BA"/>
    <w:rPr>
      <w:color w:val="605E5C"/>
      <w:shd w:val="clear" w:color="auto" w:fill="E1DFDD"/>
    </w:rPr>
  </w:style>
  <w:style w:type="paragraph" w:styleId="StandardWeb">
    <w:name w:val="Normal (Web)"/>
    <w:basedOn w:val="Standard"/>
    <w:uiPriority w:val="99"/>
    <w:semiHidden/>
    <w:rsid w:val="00C35141"/>
    <w:pPr>
      <w:spacing w:before="100" w:beforeAutospacing="1" w:after="100" w:afterAutospacing="1" w:line="240" w:lineRule="auto"/>
    </w:pPr>
    <w:rPr>
      <w:rFonts w:ascii="Times New Roman" w:hAnsi="Times New Roman" w:cs="Times New Roman"/>
      <w:sz w:val="24"/>
      <w:szCs w:val="24"/>
      <w:lang w:eastAsia="de-DE"/>
    </w:rPr>
  </w:style>
  <w:style w:type="paragraph" w:styleId="berarbeitung">
    <w:name w:val="Revision"/>
    <w:hidden/>
    <w:uiPriority w:val="99"/>
    <w:semiHidden/>
    <w:rsid w:val="00770EE9"/>
    <w:pPr>
      <w:spacing w:after="0" w:line="240" w:lineRule="auto"/>
    </w:pPr>
  </w:style>
  <w:style w:type="character" w:styleId="NichtaufgelsteErwhnung">
    <w:name w:val="Unresolved Mention"/>
    <w:basedOn w:val="Absatz-Standardschriftart"/>
    <w:uiPriority w:val="99"/>
    <w:semiHidden/>
    <w:unhideWhenUsed/>
    <w:rsid w:val="003D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15033076">
      <w:bodyDiv w:val="1"/>
      <w:marLeft w:val="0"/>
      <w:marRight w:val="0"/>
      <w:marTop w:val="0"/>
      <w:marBottom w:val="0"/>
      <w:divBdr>
        <w:top w:val="none" w:sz="0" w:space="0" w:color="auto"/>
        <w:left w:val="none" w:sz="0" w:space="0" w:color="auto"/>
        <w:bottom w:val="none" w:sz="0" w:space="0" w:color="auto"/>
        <w:right w:val="none" w:sz="0" w:space="0" w:color="auto"/>
      </w:divBdr>
    </w:div>
    <w:div w:id="532157259">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587276105">
      <w:bodyDiv w:val="1"/>
      <w:marLeft w:val="0"/>
      <w:marRight w:val="0"/>
      <w:marTop w:val="0"/>
      <w:marBottom w:val="0"/>
      <w:divBdr>
        <w:top w:val="none" w:sz="0" w:space="0" w:color="auto"/>
        <w:left w:val="none" w:sz="0" w:space="0" w:color="auto"/>
        <w:bottom w:val="none" w:sz="0" w:space="0" w:color="auto"/>
        <w:right w:val="none" w:sz="0" w:space="0" w:color="auto"/>
      </w:divBdr>
    </w:div>
    <w:div w:id="668410742">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78249690">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panasonic.com/global/press/data/2022/04/en220427-1/en220427-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ews.panasonic.com/global/press/data/2021/10/en211001-4/en211001-4.html" TargetMode="External"/><Relationship Id="rId17" Type="http://schemas.openxmlformats.org/officeDocument/2006/relationships/hyperlink" Target="mailto:presse.kontakt@eu.panasoni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ldings.panasonic/glob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rcon.panasonic.eu/GB_en/news/new/panasonics-introduces-new-aquarea-hybrid-eco-heat-pum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anasonic.com/IFA2022"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uk/corporate/news/articles/get-more-from-your-styling-routine-with-panasonic-s-new-multishape-the-first-integrated-system-in-the-market.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057d58-e393-48e6-9524-a55f63fa7962">
      <Terms xmlns="http://schemas.microsoft.com/office/infopath/2007/PartnerControls"/>
    </lcf76f155ced4ddcb4097134ff3c332f>
    <TaxCatchAll xmlns="574a78ac-ba53-4a4c-a33c-c67cd40986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7AC9C488B2864A806A3D46583877FA" ma:contentTypeVersion="14" ma:contentTypeDescription="Create a new document." ma:contentTypeScope="" ma:versionID="726c824c4faf1d14b80ca6291cc8e03c">
  <xsd:schema xmlns:xsd="http://www.w3.org/2001/XMLSchema" xmlns:xs="http://www.w3.org/2001/XMLSchema" xmlns:p="http://schemas.microsoft.com/office/2006/metadata/properties" xmlns:ns2="a5057d58-e393-48e6-9524-a55f63fa7962" xmlns:ns3="574a78ac-ba53-4a4c-a33c-c67cd40986ef" targetNamespace="http://schemas.microsoft.com/office/2006/metadata/properties" ma:root="true" ma:fieldsID="1c8dc0baeda0519081d5a98177323890" ns2:_="" ns3:_="">
    <xsd:import namespace="a5057d58-e393-48e6-9524-a55f63fa7962"/>
    <xsd:import namespace="574a78ac-ba53-4a4c-a33c-c67cd40986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7d58-e393-48e6-9524-a55f63fa79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a78ac-ba53-4a4c-a33c-c67cd40986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5df33f-03b4-4397-8b08-bf0d057ef26d}" ma:internalName="TaxCatchAll" ma:showField="CatchAllData" ma:web="574a78ac-ba53-4a4c-a33c-c67cd40986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7298F-B500-43DE-8F7C-E687AC844B4E}">
  <ds:schemaRefs>
    <ds:schemaRef ds:uri="http://schemas.openxmlformats.org/officeDocument/2006/bibliography"/>
  </ds:schemaRefs>
</ds:datastoreItem>
</file>

<file path=customXml/itemProps2.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6efdc1eb-a01a-4383-8a06-a32b8eeca394"/>
    <ds:schemaRef ds:uri="f0174746-6ddf-421f-9176-09452cf1e33f"/>
  </ds:schemaRefs>
</ds:datastoreItem>
</file>

<file path=customXml/itemProps3.xml><?xml version="1.0" encoding="utf-8"?>
<ds:datastoreItem xmlns:ds="http://schemas.openxmlformats.org/officeDocument/2006/customXml" ds:itemID="{2B22C070-7F7C-4C62-B46E-6C48A83F32DF}"/>
</file>

<file path=customXml/itemProps4.xml><?xml version="1.0" encoding="utf-8"?>
<ds:datastoreItem xmlns:ds="http://schemas.openxmlformats.org/officeDocument/2006/customXml" ds:itemID="{4EB68700-5E2C-4816-94A2-678602BA6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8524</Characters>
  <Application>Microsoft Office Word</Application>
  <DocSecurity>0</DocSecurity>
  <Lines>207</Lines>
  <Paragraphs>68</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パナソニック株式会社</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Weisse | i-pointing</dc:creator>
  <cp:lastModifiedBy>Björn Köcher</cp:lastModifiedBy>
  <cp:revision>3</cp:revision>
  <cp:lastPrinted>2022-08-30T10:03:00Z</cp:lastPrinted>
  <dcterms:created xsi:type="dcterms:W3CDTF">2022-08-30T10:25:00Z</dcterms:created>
  <dcterms:modified xsi:type="dcterms:W3CDTF">2022-08-30T10:25:00Z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0x0101008109837BEAB8F9429128B1900CE65FB2</vt:lpwstr>
  </property>
  <property fmtid="{D5CDD505-2E9C-101B-9397-08002B2CF9AE}" pid="3" name="MediaServiceImageTags">
    <vt:lpwstr/>
  </property>
</Properties>
</file>